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</w:rPr>
      </w:pPr>
      <w:bookmarkStart w:id="0" w:name="_Toc4102"/>
      <w:r>
        <w:rPr>
          <w:rStyle w:val="6"/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琼海市中医院污水在线自动监测委托运营及设备维护项目采购需求</w:t>
      </w:r>
      <w:bookmarkEnd w:id="0"/>
    </w:p>
    <w:p>
      <w:pPr>
        <w:rPr>
          <w:rFonts w:hint="eastAsia" w:ascii="宋体" w:hAnsi="宋体" w:eastAsia="宋体" w:cs="宋体"/>
          <w:color w:val="auto"/>
        </w:rPr>
      </w:pPr>
      <w:bookmarkStart w:id="1" w:name="_Toc317237621"/>
      <w:bookmarkStart w:id="2" w:name="_Toc1576"/>
      <w:bookmarkStart w:id="3" w:name="_Toc14264"/>
      <w:bookmarkStart w:id="4" w:name="_Toc11096"/>
    </w:p>
    <w:p>
      <w:pP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32"/>
          <w:lang w:val="en-US" w:eastAsia="zh-CN" w:bidi="ar-SA"/>
        </w:rPr>
        <w:t>一、项目概况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1.1项目名称：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琼海市中医院污水在线自动监测委托运营及设备维护项目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1.2采购预算：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78000元/年</w:t>
      </w:r>
      <w:bookmarkStart w:id="5" w:name="_GoBack"/>
      <w:bookmarkEnd w:id="5"/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（报价超过最高限价，按无效响应文件处理）。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1.3服务地点：采购人指定地点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（琼海市中医院跃华路院区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在线自动监测委托运营</w:t>
      </w:r>
      <w:r>
        <w:rPr>
          <w:rStyle w:val="6"/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，琼海市中医院东风路院区及跃华路院区污水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设备维护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32"/>
          <w:lang w:val="en-US" w:eastAsia="zh-CN" w:bidi="ar-SA"/>
        </w:rPr>
        <w:t>二、采购内容及技术要求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1管理运营：对受委托运营的水质污染源自动监控系统所有系统进行维护和管理，保障正常运行。主要包括：日常维护保养，按质量保证和质量控制要求定期更换所需的标准试剂和标准标样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zh-CN" w:eastAsia="zh-CN" w:bidi="ar-SA"/>
        </w:rPr>
        <w:t>、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纯净水、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其它易耗品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zh-CN" w:eastAsia="zh-CN" w:bidi="ar-SA"/>
        </w:rPr>
        <w:t>（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试剂、纯净水及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易耗品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由中标方免费提供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zh-CN" w:eastAsia="zh-CN" w:bidi="ar-SA"/>
        </w:rPr>
        <w:t>）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；定期每周巡查检修一次，按相关的技术规范和要求对仪器进行校准或校验。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2.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数据传输：所有仪器设备数据信号正常通过GPRS无线传输或有线传输；数据传输率为9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%以上。通讯协议符合HJ212-2017的相关要求。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★2.3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运营物资保障：在监测期间，如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五百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元以下的设备出现损坏由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中标方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负责，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五百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元以上的由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采购方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负责。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★2.4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运营维护：所有仪器设备的运行按照国家相关规定、技术规范和海南省相关技术规范开展，特别是进行定期（每周一次）检查、维护、保养和及时检修故障。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5校验：定期按国家相关的技术规范和要求对仪器进行校验。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6在环保部门对在线监测设备展开临检时，配合提供现场服务。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zh-CN" w:eastAsia="zh-CN" w:bidi="ar-SA"/>
        </w:rPr>
        <w:t>7建立完整的运行维护技术档案。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★2.8在线监测设备产生的废液由业主委托有资质的公司处理。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★2.9故障响应与处置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故障分级响应：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一级故障（轻微）：10 分钟内响应，2 小时内解决；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二级故障（一般）：2 小时内到场，8 小时内解决；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三级故障（严重）：1 小时内到场，12 小时内解决；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四级故障（重大）：立即启动应急响应，项目经理到场指挥，24 小时内恢复核心功能；设备故障超过 24 小时未解决的，须提供经计量检定或校准的备用监测设备，直至故障修复；故障期间须按规定采用手工监测方式报送数据，每天不少于 4 次，间隔不超过 6 小时，做好手工监测台账。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★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2.10运维服务须严格符合《水污染源在线监测系统（CODCr、NH3-N 等）运行技术规范》（HJ 355-2019）、《水污染源在线监测系统（CODCr、NH3-N 等）数据有效性判别技术规范》（HJ 356-2019）、《水污染源在线监测系统安装技术规范》（HJ 353-2019）、《医疗机构水污染物排放标准》（GB 18466-2005）等国家及地方相关标准规范。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★2.11月度考核：招标人根据本需求书及合同约定，对每月运维工作进行考核，考核结果与月度服务费用支付挂钩；季度验收：每季度结束后，招标人组织季度验收，核查运维记录、报告、数据质量及设备运行状况；年度验收：每年年底进行年度总体验收，综合评估全年运维工作成效、考核指标完成情况，验收合格后支付年度剩余服务费用；服务期满验收：服务期满后，招标人对监测系统设备性能、档案完整性、数据质量等进行全面验收，验收合格后办理移交手续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★2.12考核指标：设备正常运行率≥98%；数据传输有效率≥98%；校准/核查合格率 100%；环保部门监督考核及有效性审核（标样考核、实际水样比对）合格率 100%；有效数据率≥90%；故障响应及时率 100%，故障处置达标率 100%；安全生产事故率为0；危废处置合规率 100%；环保检查零整改；招标人满意度≥95%。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商务要求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>3.1.甲方负责按照国家的规范、相关考核要求和《海南省污染源自动监控系统管理运营技术规范与考核标准》（含在运营期间修订版）对运营单位的运营情况进行考核。乙方执行相关运营工作要求情况。</w:t>
      </w:r>
    </w:p>
    <w:p>
      <w:pPr>
        <w:spacing w:line="480" w:lineRule="auto"/>
        <w:ind w:left="0" w:leftChars="0" w:firstLine="420" w:firstLineChars="175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8"/>
          <w:lang w:val="en-US" w:eastAsia="zh-CN" w:bidi="ar-SA"/>
        </w:rPr>
        <w:t xml:space="preserve">★3.2承诺拟派的操作人员具备相应的专业技能和知识，提供承诺书，格式自拟。  </w:t>
      </w:r>
      <w:r>
        <w:rPr>
          <w:rFonts w:hint="eastAsia"/>
          <w:lang w:val="en-US" w:eastAsia="zh-CN"/>
        </w:rPr>
        <w:t xml:space="preserve"> 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3.3付款方式（以最终签订的合同为准）：运营技术服务费甲方按月支付给乙方¥元即人民币大写：；签订合同后甲方收到乙方开具的发票后，甲方在20个工作日内支付运营技术服务费给乙方。</w:t>
      </w:r>
    </w:p>
    <w:p>
      <w:pPr>
        <w:spacing w:line="480" w:lineRule="auto"/>
        <w:ind w:left="0" w:leftChars="0" w:firstLine="420" w:firstLineChars="175"/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en-US" w:eastAsia="zh-CN" w:bidi="ar-SA"/>
        </w:rPr>
        <w:t>3.4</w:t>
      </w:r>
      <w:r>
        <w:rPr>
          <w:rFonts w:hint="eastAsia" w:ascii="宋体" w:hAnsi="宋体" w:cs="宋体"/>
          <w:bCs/>
          <w:color w:val="auto"/>
          <w:kern w:val="2"/>
          <w:sz w:val="24"/>
          <w:szCs w:val="28"/>
          <w:lang w:val="zh-CN" w:eastAsia="zh-CN" w:bidi="ar-SA"/>
        </w:rPr>
        <w:t>附件《运营设备清单》</w:t>
      </w:r>
    </w:p>
    <w:tbl>
      <w:tblPr>
        <w:tblStyle w:val="4"/>
        <w:tblW w:w="877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00"/>
        <w:gridCol w:w="1781"/>
        <w:gridCol w:w="1526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设备名称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单位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数量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ind w:firstLine="211" w:firstLineChars="1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COD在线监测仪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氨氮在线监测仪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浊度仪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余氯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在线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PH计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超声波明渠流量计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数据采集仪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水质自动采样器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zh-CN"/>
              </w:rPr>
              <w:t>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57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bookmarkEnd w:id="1"/>
      <w:bookmarkEnd w:id="2"/>
      <w:bookmarkEnd w:id="3"/>
      <w:bookmarkEnd w:id="4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C5DBB"/>
    <w:multiLevelType w:val="singleLevel"/>
    <w:tmpl w:val="999C5D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7438"/>
    <w:rsid w:val="03A86E31"/>
    <w:rsid w:val="18352F19"/>
    <w:rsid w:val="20DF7438"/>
    <w:rsid w:val="29E27C3E"/>
    <w:rsid w:val="30F846B0"/>
    <w:rsid w:val="378A03F2"/>
    <w:rsid w:val="3E2B3C1B"/>
    <w:rsid w:val="3FA733B5"/>
    <w:rsid w:val="57F76279"/>
    <w:rsid w:val="59544DDE"/>
    <w:rsid w:val="6B1C06C1"/>
    <w:rsid w:val="73F8694E"/>
    <w:rsid w:val="7ADF03C2"/>
    <w:rsid w:val="7D4A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6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6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hAnsi="宋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1"/>
    <w:link w:val="2"/>
    <w:qFormat/>
    <w:uiPriority w:val="0"/>
    <w:rPr>
      <w:b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1589</Characters>
  <Lines>0</Lines>
  <Paragraphs>0</Paragraphs>
  <TotalTime>9</TotalTime>
  <ScaleCrop>false</ScaleCrop>
  <LinksUpToDate>false</LinksUpToDate>
  <CharactersWithSpaces>1617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2026-03-09T04:08:00Z</dcterms:created>
  <dc:creator>45228</dc:creator>
  <cp:lastModifiedBy>Administrator</cp:lastModifiedBy>
  <dcterms:modified xsi:type="dcterms:W3CDTF">2026-03-09T08:04:58Z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2F8DB78437D84CD49F3DD7D33A82D889_13</vt:lpwstr>
  </property>
  <property fmtid="{D5CDD505-2E9C-101B-9397-08002B2CF9AE}" pid="4" name="KSOTemplateDocerSaveRecord">
    <vt:lpwstr>eyJoZGlkIjoiMzlhNTAxYjFhZDg3NzUyNTQwNzBjZDRmMGNlMTQ4ZmIiLCJ1c2VySWQiOiIzNzk0ODA4OTEifQ==</vt:lpwstr>
  </property>
</Properties>
</file>