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6601" w:leftChars="-171" w:hanging="6960" w:hangingChars="2900"/>
        <w:rPr>
          <w:rFonts w:ascii="宋体" w:hAnsi="宋体"/>
          <w:b/>
          <w:bCs/>
          <w:color w:val="000000" w:themeColor="text1"/>
          <w:sz w:val="24"/>
          <w:szCs w:val="24"/>
        </w:rPr>
      </w:pPr>
      <w:r>
        <w:rPr>
          <w:rFonts w:hint="eastAsia" w:ascii="宋体" w:hAnsi="宋体"/>
          <w:color w:val="000000" w:themeColor="text1"/>
          <w:sz w:val="24"/>
          <w:szCs w:val="24"/>
        </w:rPr>
        <w:t xml:space="preserve">     </w:t>
      </w:r>
    </w:p>
    <w:p>
      <w:pPr>
        <w:pStyle w:val="3"/>
        <w:ind w:firstLine="6264" w:firstLineChars="2600"/>
        <w:rPr>
          <w:rFonts w:ascii="宋体" w:hAnsi="宋体"/>
          <w:b/>
          <w:bCs/>
          <w:color w:val="000000" w:themeColor="text1"/>
          <w:sz w:val="24"/>
          <w:szCs w:val="24"/>
        </w:rPr>
      </w:pPr>
    </w:p>
    <w:p>
      <w:pPr>
        <w:pStyle w:val="3"/>
        <w:ind w:firstLine="6264" w:firstLineChars="2600"/>
        <w:rPr>
          <w:rFonts w:ascii="宋体" w:hAnsi="宋体"/>
          <w:b/>
          <w:bCs/>
          <w:color w:val="000000" w:themeColor="text1"/>
          <w:sz w:val="24"/>
          <w:szCs w:val="24"/>
        </w:rPr>
      </w:pPr>
      <w:bookmarkStart w:id="1" w:name="_GoBack"/>
      <w:bookmarkEnd w:id="1"/>
    </w:p>
    <w:p>
      <w:pPr>
        <w:pStyle w:val="3"/>
        <w:ind w:firstLine="5421" w:firstLineChars="1500"/>
        <w:rPr>
          <w:rFonts w:hint="eastAsia" w:ascii="宋体" w:hAnsi="宋体" w:eastAsia="宋体"/>
          <w:b/>
          <w:bCs/>
          <w:color w:val="000000" w:themeColor="text1"/>
          <w:sz w:val="36"/>
          <w:szCs w:val="36"/>
          <w:lang w:eastAsia="zh-CN"/>
        </w:rPr>
      </w:pPr>
      <w:r>
        <w:rPr>
          <w:rFonts w:hint="eastAsia" w:ascii="宋体" w:hAnsi="宋体"/>
          <w:b/>
          <w:bCs/>
          <w:color w:val="000000" w:themeColor="text1"/>
          <w:sz w:val="36"/>
          <w:szCs w:val="36"/>
          <w:lang w:eastAsia="zh-CN"/>
        </w:rPr>
        <w:t>手动密集架采购需求</w:t>
      </w:r>
    </w:p>
    <w:tbl>
      <w:tblPr>
        <w:tblStyle w:val="11"/>
        <w:tblW w:w="12297" w:type="dxa"/>
        <w:jc w:val="center"/>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5632"/>
        <w:gridCol w:w="917"/>
        <w:gridCol w:w="1182"/>
        <w:gridCol w:w="149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786" w:type="dxa"/>
            <w:tcBorders>
              <w:tl2br w:val="nil"/>
              <w:tr2bl w:val="nil"/>
            </w:tcBorders>
            <w:shd w:val="clear" w:color="auto" w:fill="auto"/>
            <w:vAlign w:val="center"/>
          </w:tcPr>
          <w:p>
            <w:pPr>
              <w:widowControl/>
              <w:jc w:val="center"/>
              <w:rPr>
                <w:rFonts w:ascii="新宋体" w:hAnsi="新宋体" w:eastAsia="新宋体" w:cs="新宋体"/>
                <w:color w:val="000000" w:themeColor="text1"/>
                <w:kern w:val="0"/>
                <w:sz w:val="28"/>
                <w:szCs w:val="28"/>
              </w:rPr>
            </w:pPr>
            <w:r>
              <w:rPr>
                <w:rFonts w:hint="eastAsia" w:ascii="新宋体" w:hAnsi="新宋体" w:eastAsia="新宋体" w:cs="新宋体"/>
                <w:color w:val="000000" w:themeColor="text1"/>
                <w:kern w:val="0"/>
                <w:sz w:val="28"/>
                <w:szCs w:val="28"/>
              </w:rPr>
              <w:t>产品名称</w:t>
            </w:r>
          </w:p>
        </w:tc>
        <w:tc>
          <w:tcPr>
            <w:tcW w:w="5632" w:type="dxa"/>
            <w:tcBorders>
              <w:tl2br w:val="nil"/>
              <w:tr2bl w:val="nil"/>
            </w:tcBorders>
            <w:shd w:val="clear" w:color="auto" w:fill="auto"/>
            <w:vAlign w:val="center"/>
          </w:tcPr>
          <w:p>
            <w:pPr>
              <w:widowControl/>
              <w:jc w:val="center"/>
              <w:rPr>
                <w:rFonts w:ascii="新宋体" w:hAnsi="新宋体" w:eastAsia="新宋体" w:cs="新宋体"/>
                <w:color w:val="000000" w:themeColor="text1"/>
                <w:kern w:val="0"/>
                <w:sz w:val="28"/>
                <w:szCs w:val="28"/>
              </w:rPr>
            </w:pPr>
            <w:r>
              <w:rPr>
                <w:rFonts w:hint="eastAsia" w:ascii="新宋体" w:hAnsi="新宋体" w:eastAsia="新宋体" w:cs="新宋体"/>
                <w:color w:val="000000" w:themeColor="text1"/>
                <w:kern w:val="0"/>
                <w:sz w:val="28"/>
                <w:szCs w:val="28"/>
              </w:rPr>
              <w:t>规格型号（高*长*深）</w:t>
            </w:r>
          </w:p>
        </w:tc>
        <w:tc>
          <w:tcPr>
            <w:tcW w:w="917" w:type="dxa"/>
            <w:tcBorders>
              <w:tl2br w:val="nil"/>
              <w:tr2bl w:val="nil"/>
            </w:tcBorders>
            <w:shd w:val="clear" w:color="auto" w:fill="auto"/>
            <w:vAlign w:val="center"/>
          </w:tcPr>
          <w:p>
            <w:pPr>
              <w:widowControl/>
              <w:jc w:val="center"/>
              <w:rPr>
                <w:rFonts w:ascii="新宋体" w:hAnsi="新宋体" w:eastAsia="新宋体" w:cs="新宋体"/>
                <w:color w:val="000000" w:themeColor="text1"/>
                <w:kern w:val="0"/>
                <w:sz w:val="28"/>
                <w:szCs w:val="28"/>
              </w:rPr>
            </w:pPr>
            <w:r>
              <w:rPr>
                <w:rFonts w:hint="eastAsia" w:ascii="新宋体" w:hAnsi="新宋体" w:eastAsia="新宋体" w:cs="新宋体"/>
                <w:color w:val="000000" w:themeColor="text1"/>
                <w:kern w:val="0"/>
                <w:sz w:val="28"/>
                <w:szCs w:val="28"/>
              </w:rPr>
              <w:t>单位</w:t>
            </w:r>
          </w:p>
        </w:tc>
        <w:tc>
          <w:tcPr>
            <w:tcW w:w="1182" w:type="dxa"/>
            <w:tcBorders>
              <w:tl2br w:val="nil"/>
              <w:tr2bl w:val="nil"/>
            </w:tcBorders>
            <w:shd w:val="clear" w:color="auto" w:fill="auto"/>
            <w:vAlign w:val="center"/>
          </w:tcPr>
          <w:p>
            <w:pPr>
              <w:widowControl/>
              <w:jc w:val="center"/>
              <w:rPr>
                <w:rFonts w:ascii="新宋体" w:hAnsi="新宋体" w:eastAsia="新宋体" w:cs="新宋体"/>
                <w:color w:val="000000" w:themeColor="text1"/>
                <w:kern w:val="0"/>
                <w:sz w:val="28"/>
                <w:szCs w:val="28"/>
              </w:rPr>
            </w:pPr>
            <w:r>
              <w:rPr>
                <w:rFonts w:hint="eastAsia" w:ascii="新宋体" w:hAnsi="新宋体" w:eastAsia="新宋体" w:cs="新宋体"/>
                <w:color w:val="000000" w:themeColor="text1"/>
                <w:kern w:val="0"/>
                <w:sz w:val="28"/>
                <w:szCs w:val="28"/>
              </w:rPr>
              <w:t>数量</w:t>
            </w:r>
          </w:p>
        </w:tc>
        <w:tc>
          <w:tcPr>
            <w:tcW w:w="1496" w:type="dxa"/>
            <w:tcBorders>
              <w:tl2br w:val="nil"/>
              <w:tr2bl w:val="nil"/>
            </w:tcBorders>
            <w:shd w:val="clear" w:color="auto" w:fill="auto"/>
            <w:vAlign w:val="center"/>
          </w:tcPr>
          <w:p>
            <w:pPr>
              <w:widowControl/>
              <w:jc w:val="center"/>
              <w:rPr>
                <w:rFonts w:hint="eastAsia" w:ascii="新宋体" w:hAnsi="新宋体" w:eastAsia="新宋体" w:cs="新宋体"/>
                <w:color w:val="000000" w:themeColor="text1"/>
                <w:kern w:val="0"/>
                <w:sz w:val="28"/>
                <w:szCs w:val="28"/>
                <w:lang w:eastAsia="zh-CN"/>
              </w:rPr>
            </w:pPr>
            <w:r>
              <w:rPr>
                <w:rFonts w:hint="eastAsia" w:ascii="新宋体" w:hAnsi="新宋体" w:eastAsia="新宋体" w:cs="新宋体"/>
                <w:color w:val="000000" w:themeColor="text1"/>
                <w:kern w:val="0"/>
                <w:sz w:val="28"/>
                <w:szCs w:val="28"/>
                <w:lang w:eastAsia="zh-CN"/>
              </w:rPr>
              <w:t>预算</w:t>
            </w:r>
            <w:r>
              <w:rPr>
                <w:rFonts w:hint="eastAsia" w:ascii="新宋体" w:hAnsi="新宋体" w:eastAsia="新宋体" w:cs="新宋体"/>
                <w:color w:val="000000" w:themeColor="text1"/>
                <w:kern w:val="0"/>
                <w:sz w:val="28"/>
                <w:szCs w:val="28"/>
              </w:rPr>
              <w:t>单价</w:t>
            </w:r>
          </w:p>
        </w:tc>
        <w:tc>
          <w:tcPr>
            <w:tcW w:w="1284" w:type="dxa"/>
            <w:tcBorders>
              <w:tl2br w:val="nil"/>
              <w:tr2bl w:val="nil"/>
            </w:tcBorders>
            <w:shd w:val="clear" w:color="auto" w:fill="auto"/>
            <w:vAlign w:val="center"/>
          </w:tcPr>
          <w:p>
            <w:pPr>
              <w:widowControl/>
              <w:jc w:val="center"/>
              <w:rPr>
                <w:rFonts w:hint="eastAsia" w:ascii="新宋体" w:hAnsi="新宋体" w:eastAsia="新宋体" w:cs="新宋体"/>
                <w:color w:val="000000" w:themeColor="text1"/>
                <w:kern w:val="0"/>
                <w:sz w:val="28"/>
                <w:szCs w:val="28"/>
                <w:lang w:eastAsia="zh-CN"/>
              </w:rPr>
            </w:pPr>
            <w:r>
              <w:rPr>
                <w:rFonts w:hint="eastAsia" w:ascii="新宋体" w:hAnsi="新宋体" w:eastAsia="新宋体" w:cs="新宋体"/>
                <w:color w:val="000000" w:themeColor="text1"/>
                <w:kern w:val="0"/>
                <w:sz w:val="28"/>
                <w:szCs w:val="28"/>
              </w:rPr>
              <w:t>总</w:t>
            </w:r>
            <w:r>
              <w:rPr>
                <w:rFonts w:hint="eastAsia" w:ascii="新宋体" w:hAnsi="新宋体" w:eastAsia="新宋体" w:cs="新宋体"/>
                <w:color w:val="000000" w:themeColor="text1"/>
                <w:kern w:val="0"/>
                <w:sz w:val="28"/>
                <w:szCs w:val="28"/>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786" w:type="dxa"/>
            <w:tcBorders>
              <w:tl2br w:val="nil"/>
              <w:tr2bl w:val="nil"/>
            </w:tcBorders>
            <w:shd w:val="clear" w:color="auto" w:fill="auto"/>
            <w:vAlign w:val="center"/>
          </w:tcPr>
          <w:p>
            <w:pPr>
              <w:adjustRightInd w:val="0"/>
              <w:snapToGrid w:val="0"/>
              <w:ind w:left="105" w:leftChars="50" w:right="105" w:rightChars="50"/>
              <w:jc w:val="center"/>
              <w:rPr>
                <w:rFonts w:ascii="新宋体" w:hAnsi="新宋体" w:eastAsia="新宋体" w:cs="新宋体"/>
                <w:b/>
                <w:bCs/>
                <w:color w:val="000000" w:themeColor="text1"/>
                <w:sz w:val="24"/>
                <w:szCs w:val="24"/>
              </w:rPr>
            </w:pPr>
            <w:r>
              <w:rPr>
                <w:rFonts w:hint="eastAsia" w:ascii="新宋体" w:hAnsi="新宋体" w:eastAsia="新宋体" w:cs="新宋体"/>
                <w:b/>
                <w:bCs/>
                <w:color w:val="000000"/>
                <w:sz w:val="24"/>
                <w:szCs w:val="24"/>
              </w:rPr>
              <w:t>手动密集架</w:t>
            </w:r>
          </w:p>
        </w:tc>
        <w:tc>
          <w:tcPr>
            <w:tcW w:w="5632" w:type="dxa"/>
            <w:tcBorders>
              <w:tl2br w:val="nil"/>
              <w:tr2bl w:val="nil"/>
            </w:tcBorders>
            <w:shd w:val="clear" w:color="auto" w:fill="auto"/>
            <w:vAlign w:val="center"/>
          </w:tcPr>
          <w:p>
            <w:pPr>
              <w:jc w:val="center"/>
              <w:rPr>
                <w:rFonts w:ascii="新宋体" w:hAnsi="新宋体" w:eastAsia="新宋体" w:cs="新宋体"/>
                <w:b/>
                <w:bCs/>
                <w:color w:val="000000" w:themeColor="text1"/>
                <w:sz w:val="24"/>
                <w:szCs w:val="24"/>
              </w:rPr>
            </w:pPr>
            <w:r>
              <w:rPr>
                <w:rFonts w:hint="eastAsia" w:ascii="新宋体" w:hAnsi="新宋体" w:eastAsia="新宋体" w:cs="新宋体"/>
                <w:b/>
                <w:bCs/>
                <w:color w:val="000000" w:themeColor="text1"/>
                <w:sz w:val="24"/>
                <w:szCs w:val="24"/>
              </w:rPr>
              <w:t>10列，2600mm*4500mm*750mm/列（8层隔板）</w:t>
            </w:r>
          </w:p>
          <w:p>
            <w:pPr>
              <w:jc w:val="center"/>
              <w:rPr>
                <w:rFonts w:ascii="新宋体" w:hAnsi="新宋体" w:eastAsia="新宋体" w:cs="新宋体"/>
                <w:b/>
                <w:bCs/>
                <w:color w:val="000000" w:themeColor="text1"/>
                <w:sz w:val="24"/>
                <w:szCs w:val="24"/>
              </w:rPr>
            </w:pPr>
            <w:r>
              <w:rPr>
                <w:rFonts w:hint="eastAsia" w:ascii="新宋体" w:hAnsi="新宋体" w:eastAsia="新宋体" w:cs="新宋体"/>
                <w:b/>
                <w:bCs/>
                <w:color w:val="000000" w:themeColor="text1"/>
                <w:sz w:val="24"/>
                <w:szCs w:val="24"/>
              </w:rPr>
              <w:t>即：5组一列10列50组合计：117平米</w:t>
            </w:r>
            <w:r>
              <w:rPr>
                <w:rFonts w:hint="eastAsia" w:ascii="新宋体" w:hAnsi="新宋体" w:eastAsia="新宋体" w:cs="新宋体"/>
                <w:b/>
                <w:bCs/>
                <w:color w:val="000000" w:themeColor="text1"/>
                <w:sz w:val="24"/>
                <w:szCs w:val="24"/>
                <w:lang w:eastAsia="zh-CN"/>
              </w:rPr>
              <w:t>（长乘以高）</w:t>
            </w:r>
            <w:r>
              <w:rPr>
                <w:rFonts w:hint="eastAsia" w:ascii="新宋体" w:hAnsi="新宋体" w:eastAsia="新宋体" w:cs="新宋体"/>
                <w:b/>
                <w:bCs/>
                <w:color w:val="000000" w:themeColor="text1"/>
                <w:sz w:val="24"/>
                <w:szCs w:val="24"/>
              </w:rPr>
              <w:t>，大约储存病历档案袋10万~12万册</w:t>
            </w:r>
          </w:p>
        </w:tc>
        <w:tc>
          <w:tcPr>
            <w:tcW w:w="917" w:type="dxa"/>
            <w:tcBorders>
              <w:tl2br w:val="nil"/>
              <w:tr2bl w:val="nil"/>
            </w:tcBorders>
            <w:shd w:val="clear" w:color="auto" w:fill="auto"/>
            <w:vAlign w:val="center"/>
          </w:tcPr>
          <w:p>
            <w:pPr>
              <w:jc w:val="center"/>
              <w:rPr>
                <w:rFonts w:ascii="新宋体" w:hAnsi="新宋体" w:eastAsia="新宋体" w:cs="新宋体"/>
                <w:b/>
                <w:bCs/>
                <w:color w:val="000000" w:themeColor="text1"/>
                <w:kern w:val="0"/>
                <w:sz w:val="24"/>
                <w:szCs w:val="24"/>
              </w:rPr>
            </w:pPr>
            <w:r>
              <w:rPr>
                <w:rFonts w:hint="eastAsia" w:ascii="新宋体" w:hAnsi="新宋体" w:eastAsia="新宋体" w:cs="新宋体"/>
                <w:b/>
                <w:bCs/>
                <w:color w:val="000000" w:themeColor="text1"/>
                <w:kern w:val="0"/>
                <w:sz w:val="24"/>
                <w:szCs w:val="24"/>
              </w:rPr>
              <w:t>平米</w:t>
            </w:r>
          </w:p>
        </w:tc>
        <w:tc>
          <w:tcPr>
            <w:tcW w:w="1182" w:type="dxa"/>
            <w:tcBorders>
              <w:tl2br w:val="nil"/>
              <w:tr2bl w:val="nil"/>
            </w:tcBorders>
            <w:shd w:val="clear" w:color="auto" w:fill="auto"/>
            <w:vAlign w:val="center"/>
          </w:tcPr>
          <w:p>
            <w:pPr>
              <w:jc w:val="center"/>
              <w:rPr>
                <w:rFonts w:ascii="新宋体" w:hAnsi="新宋体" w:eastAsia="新宋体" w:cs="新宋体"/>
                <w:b/>
                <w:bCs/>
                <w:color w:val="000000" w:themeColor="text1"/>
                <w:kern w:val="0"/>
                <w:sz w:val="24"/>
                <w:szCs w:val="24"/>
              </w:rPr>
            </w:pPr>
            <w:r>
              <w:rPr>
                <w:rFonts w:hint="eastAsia" w:ascii="新宋体" w:hAnsi="新宋体" w:eastAsia="新宋体" w:cs="新宋体"/>
                <w:b/>
                <w:bCs/>
                <w:color w:val="000000" w:themeColor="text1"/>
                <w:kern w:val="0"/>
                <w:sz w:val="24"/>
                <w:szCs w:val="24"/>
              </w:rPr>
              <w:t>117</w:t>
            </w:r>
          </w:p>
        </w:tc>
        <w:tc>
          <w:tcPr>
            <w:tcW w:w="1496" w:type="dxa"/>
            <w:tcBorders>
              <w:tl2br w:val="nil"/>
              <w:tr2bl w:val="nil"/>
            </w:tcBorders>
            <w:shd w:val="clear" w:color="auto" w:fill="auto"/>
            <w:vAlign w:val="center"/>
          </w:tcPr>
          <w:p>
            <w:pPr>
              <w:ind w:firstLine="241" w:firstLineChars="100"/>
              <w:rPr>
                <w:rFonts w:ascii="新宋体" w:hAnsi="新宋体" w:eastAsia="新宋体" w:cs="新宋体"/>
                <w:b/>
                <w:bCs/>
                <w:color w:val="000000" w:themeColor="text1"/>
                <w:kern w:val="0"/>
                <w:sz w:val="24"/>
                <w:szCs w:val="24"/>
              </w:rPr>
            </w:pPr>
            <w:r>
              <w:rPr>
                <w:rFonts w:hint="eastAsia" w:ascii="新宋体" w:hAnsi="新宋体" w:eastAsia="新宋体" w:cs="新宋体"/>
                <w:b/>
                <w:bCs/>
                <w:color w:val="000000" w:themeColor="text1"/>
                <w:kern w:val="0"/>
                <w:sz w:val="24"/>
                <w:szCs w:val="24"/>
              </w:rPr>
              <w:t>850元</w:t>
            </w:r>
          </w:p>
        </w:tc>
        <w:tc>
          <w:tcPr>
            <w:tcW w:w="1284" w:type="dxa"/>
            <w:tcBorders>
              <w:tl2br w:val="nil"/>
              <w:tr2bl w:val="nil"/>
            </w:tcBorders>
            <w:shd w:val="clear" w:color="auto" w:fill="auto"/>
            <w:vAlign w:val="center"/>
          </w:tcPr>
          <w:p>
            <w:pPr>
              <w:widowControl/>
              <w:rPr>
                <w:rFonts w:ascii="新宋体" w:hAnsi="新宋体" w:eastAsia="新宋体" w:cs="新宋体"/>
                <w:b/>
                <w:bCs/>
                <w:color w:val="000000" w:themeColor="text1"/>
                <w:kern w:val="0"/>
                <w:sz w:val="24"/>
                <w:szCs w:val="24"/>
              </w:rPr>
            </w:pPr>
            <w:r>
              <w:rPr>
                <w:rFonts w:hint="eastAsia" w:ascii="新宋体" w:hAnsi="新宋体" w:eastAsia="新宋体" w:cs="新宋体"/>
                <w:b/>
                <w:bCs/>
                <w:color w:val="000000" w:themeColor="text1"/>
                <w:kern w:val="0"/>
                <w:sz w:val="24"/>
                <w:szCs w:val="24"/>
              </w:rPr>
              <w:t>99450元</w:t>
            </w:r>
          </w:p>
        </w:tc>
      </w:tr>
    </w:tbl>
    <w:p>
      <w:pPr>
        <w:rPr>
          <w:rFonts w:ascii="微软雅黑" w:hAnsi="微软雅黑" w:eastAsia="微软雅黑" w:cs="微软雅黑"/>
          <w:b/>
          <w:bCs/>
          <w:color w:val="000000" w:themeColor="text1"/>
          <w:sz w:val="32"/>
          <w:szCs w:val="32"/>
        </w:rPr>
      </w:pPr>
    </w:p>
    <w:p>
      <w:pPr>
        <w:numPr>
          <w:ilvl w:val="0"/>
          <w:numId w:val="1"/>
        </w:numPr>
        <w:rPr>
          <w:rFonts w:hint="eastAsia" w:ascii="新宋体" w:hAnsi="新宋体" w:eastAsia="新宋体" w:cs="新宋体"/>
          <w:kern w:val="0"/>
          <w:sz w:val="24"/>
          <w:szCs w:val="24"/>
        </w:rPr>
      </w:pPr>
      <w:r>
        <w:rPr>
          <w:rFonts w:hint="eastAsia" w:ascii="新宋体" w:hAnsi="新宋体" w:eastAsia="新宋体" w:cs="新宋体"/>
          <w:kern w:val="0"/>
          <w:sz w:val="24"/>
          <w:szCs w:val="24"/>
        </w:rPr>
        <w:t>密集架配置为：双柱双面手动密集架每组8层隔板层距270mm，隔板承重100公斤，隔板可调节，两侧存放档案，首尾带门。</w:t>
      </w:r>
    </w:p>
    <w:p>
      <w:pPr>
        <w:numPr>
          <w:ilvl w:val="0"/>
          <w:numId w:val="1"/>
        </w:numPr>
        <w:rPr>
          <w:rFonts w:ascii="新宋体" w:hAnsi="新宋体" w:eastAsia="新宋体" w:cs="新宋体"/>
          <w:kern w:val="0"/>
          <w:sz w:val="24"/>
          <w:szCs w:val="24"/>
        </w:rPr>
      </w:pPr>
      <w:r>
        <w:rPr>
          <w:rFonts w:hint="eastAsia" w:ascii="新宋体" w:hAnsi="新宋体" w:eastAsia="新宋体" w:cs="新宋体"/>
          <w:kern w:val="0"/>
          <w:sz w:val="24"/>
          <w:szCs w:val="24"/>
        </w:rPr>
        <w:t>摇柄有圆盘式和摇把式两种，可任意选择。</w:t>
      </w:r>
    </w:p>
    <w:p>
      <w:pPr>
        <w:numPr>
          <w:ilvl w:val="0"/>
          <w:numId w:val="1"/>
        </w:numPr>
        <w:autoSpaceDE w:val="0"/>
        <w:autoSpaceDN w:val="0"/>
        <w:adjustRightInd w:val="0"/>
        <w:spacing w:after="200"/>
        <w:jc w:val="left"/>
        <w:rPr>
          <w:rFonts w:ascii="新宋体" w:hAnsi="新宋体" w:eastAsia="新宋体" w:cs="新宋体"/>
          <w:kern w:val="0"/>
          <w:sz w:val="24"/>
          <w:szCs w:val="24"/>
          <w:lang w:val="zh-CN"/>
        </w:rPr>
      </w:pPr>
      <w:r>
        <w:rPr>
          <w:rFonts w:hint="eastAsia" w:ascii="新宋体" w:hAnsi="新宋体" w:eastAsia="新宋体" w:cs="新宋体"/>
          <w:kern w:val="0"/>
          <w:sz w:val="24"/>
          <w:szCs w:val="24"/>
        </w:rPr>
        <w:t>手动密集架为框架结构：由底盘2.8mm、立柱1.5mm、搁板1.0mm、挂板1.0mm、门板0.9mm、侧板0.9mm、轨道座2.0mm、导轨20*20实心方钢。</w:t>
      </w:r>
      <w:r>
        <w:rPr>
          <w:rFonts w:hint="eastAsia" w:ascii="新宋体" w:hAnsi="新宋体" w:eastAsia="新宋体" w:cs="新宋体"/>
          <w:kern w:val="0"/>
          <w:sz w:val="24"/>
          <w:szCs w:val="24"/>
          <w:lang w:val="zh-CN"/>
        </w:rPr>
        <w:t>传动轴承</w:t>
      </w:r>
      <w:r>
        <w:rPr>
          <w:rFonts w:hint="eastAsia" w:ascii="新宋体" w:hAnsi="新宋体" w:eastAsia="新宋体" w:cs="新宋体"/>
          <w:kern w:val="0"/>
          <w:sz w:val="24"/>
          <w:szCs w:val="24"/>
        </w:rPr>
        <w:t>Q20  45#;</w:t>
      </w:r>
      <w:r>
        <w:rPr>
          <w:rFonts w:hint="eastAsia" w:ascii="新宋体" w:hAnsi="新宋体" w:eastAsia="新宋体" w:cs="新宋体"/>
          <w:kern w:val="0"/>
          <w:sz w:val="24"/>
          <w:szCs w:val="24"/>
          <w:lang w:val="zh-CN"/>
        </w:rPr>
        <w:t>传动链</w:t>
      </w:r>
      <w:r>
        <w:rPr>
          <w:rFonts w:hint="eastAsia" w:ascii="新宋体" w:hAnsi="新宋体" w:eastAsia="新宋体" w:cs="新宋体"/>
          <w:kern w:val="0"/>
          <w:sz w:val="24"/>
          <w:szCs w:val="24"/>
        </w:rPr>
        <w:t>4”</w:t>
      </w:r>
      <w:r>
        <w:rPr>
          <w:rFonts w:hint="eastAsia" w:ascii="新宋体" w:hAnsi="新宋体" w:eastAsia="新宋体" w:cs="新宋体"/>
          <w:kern w:val="0"/>
          <w:sz w:val="24"/>
          <w:szCs w:val="24"/>
          <w:lang w:val="zh-CN"/>
        </w:rPr>
        <w:t>摩托车专用链条；轴承</w:t>
      </w:r>
      <w:r>
        <w:rPr>
          <w:rFonts w:hint="eastAsia" w:ascii="新宋体" w:hAnsi="新宋体" w:eastAsia="新宋体" w:cs="新宋体"/>
          <w:kern w:val="0"/>
          <w:sz w:val="24"/>
          <w:szCs w:val="24"/>
        </w:rPr>
        <w:t>204</w:t>
      </w:r>
      <w:r>
        <w:rPr>
          <w:rFonts w:hint="eastAsia" w:ascii="新宋体" w:hAnsi="新宋体" w:eastAsia="新宋体" w:cs="新宋体"/>
          <w:kern w:val="0"/>
          <w:sz w:val="24"/>
          <w:szCs w:val="24"/>
          <w:lang w:val="zh-CN"/>
        </w:rPr>
        <w:t>；铁滚轮</w:t>
      </w:r>
      <w:r>
        <w:rPr>
          <w:rFonts w:hint="eastAsia" w:ascii="新宋体" w:hAnsi="新宋体" w:eastAsia="新宋体" w:cs="新宋体"/>
          <w:kern w:val="0"/>
          <w:sz w:val="24"/>
          <w:szCs w:val="24"/>
        </w:rPr>
        <w:t>HT20</w:t>
      </w:r>
      <w:r>
        <w:rPr>
          <w:rFonts w:hint="eastAsia" w:ascii="新宋体" w:hAnsi="新宋体" w:eastAsia="新宋体" w:cs="新宋体"/>
          <w:kern w:val="0"/>
          <w:sz w:val="24"/>
          <w:szCs w:val="24"/>
          <w:lang w:val="zh-CN"/>
        </w:rPr>
        <w:t>－</w:t>
      </w:r>
      <w:r>
        <w:rPr>
          <w:rFonts w:hint="eastAsia" w:ascii="新宋体" w:hAnsi="新宋体" w:eastAsia="新宋体" w:cs="新宋体"/>
          <w:kern w:val="0"/>
          <w:sz w:val="24"/>
          <w:szCs w:val="24"/>
        </w:rPr>
        <w:t>40</w:t>
      </w:r>
      <w:r>
        <w:rPr>
          <w:rFonts w:hint="eastAsia" w:ascii="新宋体" w:hAnsi="新宋体" w:eastAsia="新宋体" w:cs="新宋体"/>
          <w:kern w:val="0"/>
          <w:sz w:val="24"/>
          <w:szCs w:val="24"/>
          <w:lang w:val="zh-CN"/>
        </w:rPr>
        <w:t>灰铸铁；螺丝、螺帽用于底盘部分的应做防锈处理，用于柜体部分镀锌处理。</w:t>
      </w:r>
    </w:p>
    <w:p>
      <w:pPr>
        <w:widowControl/>
        <w:ind w:left="480" w:hanging="480" w:hanging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4、 产品</w:t>
      </w:r>
      <w:r>
        <w:rPr>
          <w:rFonts w:hint="eastAsia" w:ascii="新宋体" w:hAnsi="新宋体" w:eastAsia="新宋体" w:cs="新宋体"/>
          <w:kern w:val="0"/>
          <w:sz w:val="24"/>
          <w:szCs w:val="24"/>
          <w:lang w:eastAsia="zh-CN"/>
        </w:rPr>
        <w:t>材料</w:t>
      </w:r>
      <w:r>
        <w:rPr>
          <w:rFonts w:hint="eastAsia" w:ascii="新宋体" w:hAnsi="新宋体" w:eastAsia="新宋体" w:cs="新宋体"/>
          <w:kern w:val="0"/>
          <w:sz w:val="24"/>
          <w:szCs w:val="24"/>
        </w:rPr>
        <w:t>：优质冷轧钢板，高压环保型静电喷涂；经清洗,除油,初锈,磷化处理等多道工艺处理；表面光滑,平整；外表美观、大方；密集架颜色：乳白色。</w:t>
      </w:r>
    </w:p>
    <w:p>
      <w:pPr>
        <w:ind w:left="360" w:hanging="360" w:hangingChars="150"/>
        <w:jc w:val="left"/>
        <w:rPr>
          <w:rFonts w:ascii="新宋体" w:hAnsi="新宋体" w:eastAsia="新宋体" w:cs="新宋体"/>
          <w:b/>
          <w:kern w:val="0"/>
          <w:sz w:val="24"/>
          <w:szCs w:val="24"/>
        </w:rPr>
      </w:pPr>
      <w:r>
        <w:rPr>
          <w:rFonts w:hint="eastAsia" w:ascii="新宋体" w:hAnsi="新宋体" w:eastAsia="新宋体" w:cs="新宋体"/>
          <w:kern w:val="0"/>
          <w:sz w:val="24"/>
          <w:szCs w:val="24"/>
        </w:rPr>
        <w:t>5、</w:t>
      </w:r>
      <w:r>
        <w:rPr>
          <w:rFonts w:hint="eastAsia" w:ascii="新宋体" w:hAnsi="新宋体" w:eastAsia="新宋体" w:cs="新宋体"/>
          <w:kern w:val="0"/>
          <w:sz w:val="24"/>
          <w:szCs w:val="24"/>
          <w:lang w:eastAsia="zh-CN"/>
        </w:rPr>
        <w:t>总预算</w:t>
      </w:r>
      <w:r>
        <w:rPr>
          <w:rFonts w:hint="eastAsia" w:ascii="新宋体" w:hAnsi="新宋体" w:eastAsia="新宋体" w:cs="新宋体"/>
          <w:kern w:val="0"/>
          <w:sz w:val="24"/>
          <w:szCs w:val="24"/>
        </w:rPr>
        <w:t>包含运费</w:t>
      </w:r>
      <w:r>
        <w:rPr>
          <w:rFonts w:hint="eastAsia" w:ascii="新宋体" w:hAnsi="新宋体" w:eastAsia="新宋体" w:cs="新宋体"/>
          <w:kern w:val="0"/>
          <w:sz w:val="24"/>
          <w:szCs w:val="24"/>
          <w:lang w:eastAsia="zh-CN"/>
        </w:rPr>
        <w:t>、税费及</w:t>
      </w:r>
      <w:r>
        <w:rPr>
          <w:rFonts w:hint="eastAsia" w:ascii="新宋体" w:hAnsi="新宋体" w:eastAsia="新宋体" w:cs="新宋体"/>
          <w:kern w:val="0"/>
          <w:sz w:val="24"/>
          <w:szCs w:val="24"/>
        </w:rPr>
        <w:t>安装</w:t>
      </w:r>
      <w:r>
        <w:rPr>
          <w:rFonts w:hint="eastAsia" w:ascii="新宋体" w:hAnsi="新宋体" w:eastAsia="新宋体" w:cs="新宋体"/>
          <w:kern w:val="0"/>
          <w:sz w:val="24"/>
          <w:szCs w:val="24"/>
          <w:lang w:eastAsia="zh-CN"/>
        </w:rPr>
        <w:t>费用等其他费用</w:t>
      </w:r>
      <w:r>
        <w:rPr>
          <w:rFonts w:hint="eastAsia" w:ascii="新宋体" w:hAnsi="新宋体" w:eastAsia="新宋体" w:cs="新宋体"/>
          <w:kern w:val="0"/>
          <w:sz w:val="24"/>
          <w:szCs w:val="24"/>
        </w:rPr>
        <w:t>。</w:t>
      </w:r>
    </w:p>
    <w:p>
      <w:pPr>
        <w:jc w:val="left"/>
        <w:rPr>
          <w:rFonts w:ascii="新宋体" w:hAnsi="新宋体" w:eastAsia="新宋体" w:cs="新宋体"/>
          <w:kern w:val="0"/>
          <w:sz w:val="24"/>
          <w:szCs w:val="24"/>
        </w:rPr>
      </w:pPr>
      <w:r>
        <w:rPr>
          <w:rFonts w:hint="eastAsia" w:ascii="新宋体" w:hAnsi="新宋体" w:eastAsia="新宋体" w:cs="新宋体"/>
          <w:kern w:val="0"/>
          <w:sz w:val="24"/>
          <w:szCs w:val="24"/>
        </w:rPr>
        <w:t>6、保修期：</w:t>
      </w:r>
      <w:r>
        <w:rPr>
          <w:rFonts w:hint="eastAsia" w:ascii="新宋体" w:hAnsi="新宋体" w:eastAsia="新宋体" w:cs="新宋体"/>
          <w:color w:val="000000" w:themeColor="text1"/>
          <w:sz w:val="24"/>
          <w:szCs w:val="24"/>
        </w:rPr>
        <w:t>保期十年，</w:t>
      </w:r>
      <w:r>
        <w:rPr>
          <w:rFonts w:hint="eastAsia" w:ascii="新宋体" w:hAnsi="新宋体" w:eastAsia="新宋体" w:cs="新宋体"/>
          <w:sz w:val="24"/>
          <w:szCs w:val="24"/>
        </w:rPr>
        <w:t>质保期</w:t>
      </w:r>
      <w:r>
        <w:rPr>
          <w:rFonts w:hint="eastAsia" w:ascii="新宋体" w:hAnsi="新宋体" w:eastAsia="新宋体" w:cs="新宋体"/>
          <w:sz w:val="24"/>
          <w:szCs w:val="24"/>
          <w:lang w:eastAsia="zh-CN"/>
        </w:rPr>
        <w:t>供货方</w:t>
      </w:r>
      <w:r>
        <w:rPr>
          <w:rFonts w:hint="eastAsia" w:ascii="新宋体" w:hAnsi="新宋体" w:eastAsia="新宋体" w:cs="新宋体"/>
          <w:sz w:val="24"/>
          <w:szCs w:val="24"/>
        </w:rPr>
        <w:t>对所提供的货物免费实行包修、包换。质保期满后提供每年4次免费上门保养调试服务。保修期终身免费维护保养，在保修期内，对用户单位的服务</w:t>
      </w:r>
      <w:r>
        <w:rPr>
          <w:rFonts w:hint="eastAsia" w:ascii="新宋体" w:hAnsi="新宋体" w:eastAsia="新宋体" w:cs="新宋体"/>
          <w:sz w:val="24"/>
          <w:szCs w:val="24"/>
          <w:lang w:eastAsia="zh-CN"/>
        </w:rPr>
        <w:t>供货</w:t>
      </w:r>
      <w:r>
        <w:rPr>
          <w:rFonts w:hint="eastAsia" w:ascii="新宋体" w:hAnsi="新宋体" w:eastAsia="新宋体" w:cs="新宋体"/>
          <w:sz w:val="24"/>
          <w:szCs w:val="24"/>
        </w:rPr>
        <w:t>方在接报后的10分钟内响应，24小时内到达现场，并保证产品的正常使用。</w:t>
      </w:r>
    </w:p>
    <w:p>
      <w:pPr>
        <w:rPr>
          <w:rFonts w:hint="eastAsia" w:ascii="新宋体" w:hAnsi="新宋体" w:eastAsia="新宋体" w:cs="新宋体"/>
          <w:kern w:val="0"/>
          <w:sz w:val="24"/>
          <w:szCs w:val="24"/>
        </w:rPr>
      </w:pPr>
      <w:r>
        <w:rPr>
          <w:rFonts w:hint="eastAsia" w:ascii="新宋体" w:hAnsi="新宋体" w:eastAsia="新宋体" w:cs="新宋体"/>
          <w:kern w:val="0"/>
          <w:sz w:val="24"/>
          <w:szCs w:val="24"/>
        </w:rPr>
        <w:t>7、供货</w:t>
      </w:r>
      <w:r>
        <w:rPr>
          <w:rFonts w:hint="eastAsia" w:ascii="新宋体" w:hAnsi="新宋体" w:eastAsia="新宋体" w:cs="新宋体"/>
          <w:kern w:val="0"/>
          <w:sz w:val="24"/>
          <w:szCs w:val="24"/>
          <w:lang w:eastAsia="zh-CN"/>
        </w:rPr>
        <w:t>时间要求</w:t>
      </w:r>
      <w:r>
        <w:rPr>
          <w:rFonts w:hint="eastAsia" w:ascii="新宋体" w:hAnsi="新宋体" w:eastAsia="新宋体" w:cs="新宋体"/>
          <w:kern w:val="0"/>
          <w:sz w:val="24"/>
          <w:szCs w:val="24"/>
        </w:rPr>
        <w:t>：合同生效后</w:t>
      </w:r>
      <w:r>
        <w:rPr>
          <w:rFonts w:hint="eastAsia" w:ascii="新宋体" w:hAnsi="新宋体" w:eastAsia="新宋体" w:cs="新宋体"/>
          <w:kern w:val="0"/>
          <w:sz w:val="24"/>
          <w:szCs w:val="24"/>
          <w:lang w:val="en-US" w:eastAsia="zh-CN"/>
        </w:rPr>
        <w:t>20</w:t>
      </w:r>
      <w:r>
        <w:rPr>
          <w:rFonts w:hint="eastAsia" w:ascii="新宋体" w:hAnsi="新宋体" w:eastAsia="新宋体" w:cs="新宋体"/>
          <w:kern w:val="0"/>
          <w:sz w:val="24"/>
          <w:szCs w:val="24"/>
        </w:rPr>
        <w:t xml:space="preserve">天内交货，包括生产、运输、安装和调试时间在内。  </w:t>
      </w:r>
    </w:p>
    <w:p>
      <w:pPr>
        <w:rPr>
          <w:rFonts w:hint="eastAsia" w:ascii="新宋体" w:hAnsi="新宋体" w:eastAsia="新宋体" w:cs="新宋体"/>
          <w:kern w:val="0"/>
          <w:sz w:val="24"/>
          <w:szCs w:val="24"/>
        </w:rPr>
      </w:pPr>
    </w:p>
    <w:p>
      <w:pPr>
        <w:rPr>
          <w:rFonts w:hint="eastAsia" w:ascii="新宋体" w:hAnsi="新宋体" w:eastAsia="新宋体" w:cs="新宋体"/>
          <w:kern w:val="0"/>
          <w:sz w:val="24"/>
          <w:szCs w:val="24"/>
        </w:rPr>
      </w:pPr>
    </w:p>
    <w:p>
      <w:pPr>
        <w:rPr>
          <w:rFonts w:hint="eastAsia" w:ascii="新宋体" w:hAnsi="新宋体" w:eastAsia="新宋体" w:cs="新宋体"/>
          <w:kern w:val="0"/>
          <w:sz w:val="24"/>
          <w:szCs w:val="24"/>
        </w:rPr>
      </w:pPr>
    </w:p>
    <w:tbl>
      <w:tblPr>
        <w:tblStyle w:val="11"/>
        <w:tblpPr w:leftFromText="180" w:rightFromText="180" w:vertAnchor="text" w:horzAnchor="page" w:tblpX="1853" w:tblpY="1480"/>
        <w:tblOverlap w:val="never"/>
        <w:tblW w:w="13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61"/>
        <w:gridCol w:w="1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blHeader/>
        </w:trPr>
        <w:tc>
          <w:tcPr>
            <w:tcW w:w="686" w:type="dxa"/>
            <w:shd w:val="clear" w:color="auto" w:fill="5B9BD5" w:themeFill="accent1"/>
          </w:tcPr>
          <w:p>
            <w:pPr>
              <w:spacing w:line="360" w:lineRule="exact"/>
              <w:jc w:val="center"/>
              <w:rPr>
                <w:rFonts w:ascii="新宋体" w:hAnsi="新宋体" w:eastAsia="新宋体" w:cs="新宋体"/>
                <w:szCs w:val="21"/>
              </w:rPr>
            </w:pPr>
            <w:r>
              <w:rPr>
                <w:rFonts w:hint="eastAsia" w:ascii="新宋体" w:hAnsi="新宋体" w:eastAsia="新宋体" w:cs="新宋体"/>
                <w:szCs w:val="21"/>
              </w:rPr>
              <w:t>序号</w:t>
            </w:r>
          </w:p>
        </w:tc>
        <w:tc>
          <w:tcPr>
            <w:tcW w:w="1061" w:type="dxa"/>
            <w:shd w:val="clear" w:color="auto" w:fill="5B9BD5" w:themeFill="accent1"/>
          </w:tcPr>
          <w:p>
            <w:pPr>
              <w:spacing w:line="360" w:lineRule="exact"/>
              <w:jc w:val="center"/>
              <w:rPr>
                <w:rFonts w:ascii="新宋体" w:hAnsi="新宋体" w:eastAsia="新宋体" w:cs="新宋体"/>
                <w:szCs w:val="21"/>
              </w:rPr>
            </w:pPr>
            <w:r>
              <w:rPr>
                <w:rFonts w:hint="eastAsia" w:ascii="新宋体" w:hAnsi="新宋体" w:eastAsia="新宋体" w:cs="新宋体"/>
                <w:szCs w:val="21"/>
              </w:rPr>
              <w:t>名　称</w:t>
            </w:r>
          </w:p>
        </w:tc>
        <w:tc>
          <w:tcPr>
            <w:tcW w:w="11563" w:type="dxa"/>
            <w:shd w:val="clear" w:color="auto" w:fill="5B9BD5" w:themeFill="accent1"/>
          </w:tcPr>
          <w:p>
            <w:pPr>
              <w:spacing w:line="360" w:lineRule="exact"/>
              <w:jc w:val="center"/>
              <w:rPr>
                <w:rFonts w:hint="eastAsia" w:ascii="新宋体" w:hAnsi="新宋体" w:eastAsia="新宋体" w:cs="新宋体"/>
                <w:szCs w:val="21"/>
                <w:lang w:eastAsia="zh-CN"/>
              </w:rPr>
            </w:pPr>
            <w:r>
              <w:rPr>
                <w:rFonts w:hint="eastAsia" w:ascii="新宋体" w:hAnsi="新宋体" w:eastAsia="新宋体" w:cs="新宋体"/>
                <w:szCs w:val="21"/>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6"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1</w:t>
            </w:r>
          </w:p>
        </w:tc>
        <w:tc>
          <w:tcPr>
            <w:tcW w:w="1061"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b/>
                <w:szCs w:val="21"/>
              </w:rPr>
              <w:t>手动密集架</w:t>
            </w:r>
            <w:r>
              <w:rPr>
                <w:rFonts w:hint="eastAsia" w:ascii="新宋体" w:hAnsi="新宋体" w:eastAsia="新宋体" w:cs="新宋体"/>
                <w:b/>
                <w:szCs w:val="21"/>
                <w:lang w:eastAsia="zh-CN"/>
              </w:rPr>
              <w:t>架</w:t>
            </w:r>
            <w:r>
              <w:rPr>
                <w:rFonts w:hint="eastAsia" w:ascii="新宋体" w:hAnsi="新宋体" w:eastAsia="新宋体" w:cs="新宋体"/>
                <w:b/>
                <w:szCs w:val="21"/>
              </w:rPr>
              <w:t>体参数</w:t>
            </w:r>
          </w:p>
        </w:tc>
        <w:tc>
          <w:tcPr>
            <w:tcW w:w="11563" w:type="dxa"/>
          </w:tcPr>
          <w:p>
            <w:pPr>
              <w:spacing w:line="360" w:lineRule="exact"/>
              <w:rPr>
                <w:rFonts w:ascii="新宋体" w:hAnsi="新宋体" w:eastAsia="新宋体" w:cs="新宋体"/>
                <w:szCs w:val="21"/>
              </w:rPr>
            </w:pPr>
            <w:r>
              <w:rPr>
                <w:rFonts w:hint="eastAsia" w:ascii="新宋体" w:hAnsi="新宋体" w:eastAsia="新宋体" w:cs="新宋体"/>
                <w:szCs w:val="21"/>
              </w:rPr>
              <w:t>1、材质说明</w:t>
            </w:r>
          </w:p>
          <w:tbl>
            <w:tblPr>
              <w:tblStyle w:val="11"/>
              <w:tblW w:w="1062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722"/>
              <w:gridCol w:w="70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bookmarkStart w:id="0" w:name="_Toc24495"/>
                  <w:r>
                    <w:rPr>
                      <w:rFonts w:hint="eastAsia" w:ascii="新宋体" w:hAnsi="新宋体" w:eastAsia="新宋体" w:cs="新宋体"/>
                      <w:szCs w:val="21"/>
                    </w:rPr>
                    <w:t>序号</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部件名称</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技术参数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压筋搁板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2</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成型立柱</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厚度1.5mm钢板；符合GB/T13668-2015或国家现行执行标准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3</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压筋挂板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4</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压型顶板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5</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压型侧护板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6</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密封门板、密封门档</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7</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压型防尘板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厚度1.0mm钢板；符合GB/T13668-2015或国家现行执行标准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8</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底盘</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厚度3.0mm钢板；符合GB/T13668-2015或国家现行执行标准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9</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实心方钢</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20*20符合GB/T13667.3-2013或国家现行执行标准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10</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轨道</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厚度2.0mm钢板；符合GB/T13668-2015或国家现行执行标准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11</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磁性密封胶条</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甲醛释放量符合国家标准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12</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粉末涂料</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重金属含量符合国家标准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13</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滚珠轴承</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采用E级，P204托架双排滚珠轴承；符合国家现行执行标准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14</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实心传动轴</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优质45#钢；Φ20实心钢；符合国家现行执行标准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15</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链轮</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精钢齿轮；符合国家现行执行标准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16</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铸铁铁滚轮</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高强度铸铁；符合国家现行执行标准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17</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链条</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摩托车链条；符合国家现行执行标准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18</w:t>
                  </w:r>
                </w:p>
              </w:tc>
              <w:tc>
                <w:tcPr>
                  <w:tcW w:w="27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操纵手摇柄</w:t>
                  </w:r>
                </w:p>
              </w:tc>
              <w:tc>
                <w:tcPr>
                  <w:tcW w:w="70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锌合金或不锈钢或铸铁铸压成型，圆盘式或折叠手摇柄式；符合国家现行执行标准</w:t>
                  </w:r>
                </w:p>
              </w:tc>
            </w:tr>
            <w:bookmarkEnd w:id="0"/>
          </w:tbl>
          <w:p>
            <w:pPr>
              <w:spacing w:line="360" w:lineRule="exact"/>
              <w:rPr>
                <w:rFonts w:ascii="新宋体" w:hAnsi="新宋体" w:eastAsia="新宋体" w:cs="新宋体"/>
                <w:szCs w:val="21"/>
              </w:rPr>
            </w:pPr>
            <w:r>
              <w:rPr>
                <w:rFonts w:hint="eastAsia" w:ascii="新宋体" w:hAnsi="新宋体" w:eastAsia="新宋体" w:cs="新宋体"/>
                <w:szCs w:val="21"/>
              </w:rPr>
              <w:t>2.技术参数说明</w:t>
            </w:r>
          </w:p>
          <w:p>
            <w:pPr>
              <w:spacing w:line="360" w:lineRule="exact"/>
              <w:rPr>
                <w:rFonts w:ascii="新宋体" w:hAnsi="新宋体" w:eastAsia="新宋体" w:cs="新宋体"/>
                <w:szCs w:val="21"/>
              </w:rPr>
            </w:pPr>
            <w:r>
              <w:rPr>
                <w:rFonts w:hint="eastAsia" w:ascii="新宋体" w:hAnsi="新宋体" w:eastAsia="新宋体" w:cs="新宋体"/>
                <w:szCs w:val="21"/>
              </w:rPr>
              <w:t>（1）密集架为组合式结构，主要由立柱、搁板、挂板、侧护板、横梁、操纵手柄、滚轮、传动机构、轨道等零部件组成。</w:t>
            </w:r>
          </w:p>
          <w:p>
            <w:pPr>
              <w:spacing w:line="360" w:lineRule="exact"/>
              <w:rPr>
                <w:rFonts w:ascii="新宋体" w:hAnsi="新宋体" w:eastAsia="新宋体" w:cs="新宋体"/>
                <w:szCs w:val="21"/>
              </w:rPr>
            </w:pPr>
            <w:r>
              <w:rPr>
                <w:rFonts w:hint="eastAsia" w:ascii="新宋体" w:hAnsi="新宋体" w:eastAsia="新宋体" w:cs="新宋体"/>
                <w:szCs w:val="21"/>
              </w:rPr>
              <w:t>（2）架体外观及结构设计新颖，与整体装饰风格保持一致。钢制防护多柱式，由主柱、搁板、托架、顶板、侧护板、标签框、边缘材料等组成。喷涂面色泽一致，均匀光滑，无划伤，颜色可选。架体材料采用符合有关标准要求厚度及强度的性能极为良好的优质冷轧钢材。</w:t>
            </w:r>
          </w:p>
          <w:p>
            <w:pPr>
              <w:spacing w:line="360" w:lineRule="exact"/>
              <w:rPr>
                <w:rFonts w:ascii="新宋体" w:hAnsi="新宋体" w:eastAsia="新宋体" w:cs="新宋体"/>
                <w:szCs w:val="21"/>
              </w:rPr>
            </w:pPr>
            <w:r>
              <w:rPr>
                <w:rFonts w:hint="eastAsia" w:ascii="新宋体" w:hAnsi="新宋体" w:eastAsia="新宋体" w:cs="新宋体"/>
                <w:szCs w:val="21"/>
              </w:rPr>
              <w:t>（3）架体为立柱插入式固定，采用优质冷轧钢板，立柱式为1.5mm，并与底盘进行连接以增加稳定性，立柱两面均布冲裁可上、下调节的挂孔。每根立柱必须有凹凸拉伸式加强强度设计。必须插入至底盘底部并用螺丝连接，与底盘进行连接以增加稳定性，不得采用斜拉索。双面架中间有挡条。立柱1.5mm，轴承档采用四折弯，立柱正面为凹凸型结构，立柱折弯成型截面为≥50*35mm，两面均布满可上、下调节的挂孔，无松动现象，不能有螺栓铆钉固定。</w:t>
            </w:r>
          </w:p>
          <w:p>
            <w:pPr>
              <w:spacing w:line="360" w:lineRule="exact"/>
              <w:rPr>
                <w:rFonts w:ascii="新宋体" w:hAnsi="新宋体" w:eastAsia="新宋体" w:cs="新宋体"/>
                <w:szCs w:val="21"/>
              </w:rPr>
            </w:pPr>
            <w:r>
              <w:rPr>
                <w:rFonts w:hint="eastAsia" w:ascii="新宋体" w:hAnsi="新宋体" w:eastAsia="新宋体" w:cs="新宋体"/>
                <w:szCs w:val="21"/>
              </w:rPr>
              <w:t>（4）密集架搁板外侧面通过三次以上折弯成型，高度25-40mm，每片搁板可任意调节存放空间高度，搁板中间挡板外露高≥60mm，U型压模成型，搁板间有效高度为≥330mm，搁板能在有效孔距50-60mm以内间隔调整高度。每层搁板承重≥80kg，厚度1.0mm。</w:t>
            </w:r>
          </w:p>
          <w:p>
            <w:pPr>
              <w:spacing w:line="360" w:lineRule="exact"/>
              <w:rPr>
                <w:rFonts w:ascii="新宋体" w:hAnsi="新宋体" w:eastAsia="新宋体" w:cs="新宋体"/>
                <w:szCs w:val="21"/>
              </w:rPr>
            </w:pPr>
            <w:r>
              <w:rPr>
                <w:rFonts w:hint="eastAsia" w:ascii="新宋体" w:hAnsi="新宋体" w:eastAsia="新宋体" w:cs="新宋体"/>
                <w:szCs w:val="21"/>
              </w:rPr>
              <w:t>（5）横梁上安装防倾倒装置，并设有防尘、防鼠装置，应具有良好的防尘、防光、防鼠功能。</w:t>
            </w:r>
          </w:p>
          <w:p>
            <w:pPr>
              <w:spacing w:line="360" w:lineRule="exact"/>
              <w:rPr>
                <w:rFonts w:ascii="新宋体" w:hAnsi="新宋体" w:eastAsia="新宋体" w:cs="新宋体"/>
                <w:szCs w:val="21"/>
              </w:rPr>
            </w:pPr>
            <w:r>
              <w:rPr>
                <w:rFonts w:hint="eastAsia" w:ascii="新宋体" w:hAnsi="新宋体" w:eastAsia="新宋体" w:cs="新宋体"/>
                <w:szCs w:val="21"/>
              </w:rPr>
              <w:t>（6）侧护板：采用三段式结构，两侧弧型圆角处理。</w:t>
            </w:r>
          </w:p>
          <w:p>
            <w:pPr>
              <w:spacing w:line="360" w:lineRule="exact"/>
              <w:rPr>
                <w:rFonts w:ascii="新宋体" w:hAnsi="新宋体" w:eastAsia="新宋体" w:cs="新宋体"/>
                <w:szCs w:val="21"/>
              </w:rPr>
            </w:pPr>
            <w:r>
              <w:rPr>
                <w:rFonts w:hint="eastAsia" w:ascii="新宋体" w:hAnsi="新宋体" w:eastAsia="新宋体" w:cs="新宋体"/>
                <w:szCs w:val="21"/>
              </w:rPr>
              <w:t>（7）为保证档案永久性存放特点和质量要求，两列移动护板闭合中间的密封条，采用高性能抗老化密封条，有效的达到防尘、防光的作用。</w:t>
            </w:r>
          </w:p>
          <w:p>
            <w:pPr>
              <w:spacing w:line="360" w:lineRule="exact"/>
              <w:rPr>
                <w:rFonts w:ascii="新宋体" w:hAnsi="新宋体" w:eastAsia="新宋体" w:cs="新宋体"/>
                <w:szCs w:val="21"/>
              </w:rPr>
            </w:pPr>
            <w:r>
              <w:rPr>
                <w:rFonts w:hint="eastAsia" w:ascii="新宋体" w:hAnsi="新宋体" w:eastAsia="新宋体" w:cs="新宋体"/>
                <w:szCs w:val="21"/>
              </w:rPr>
              <w:t>（8）标准列在全负载下，每层搁板均布载重≥80kg，最大饶度2-4mm，24小时卸载后，无裂纹，架体、立柱没有明显变形，架体不会产生倾倒现象。</w:t>
            </w:r>
          </w:p>
          <w:p>
            <w:pPr>
              <w:spacing w:line="360" w:lineRule="exact"/>
              <w:rPr>
                <w:rFonts w:ascii="新宋体" w:hAnsi="新宋体" w:eastAsia="新宋体" w:cs="新宋体"/>
                <w:szCs w:val="21"/>
              </w:rPr>
            </w:pPr>
            <w:r>
              <w:rPr>
                <w:rFonts w:hint="eastAsia" w:ascii="新宋体" w:hAnsi="新宋体" w:eastAsia="新宋体" w:cs="新宋体"/>
                <w:szCs w:val="21"/>
              </w:rPr>
              <w:t>（9）在全负载的情况下，各列密集架在操纵下运行自如，不得有阻滞现象。每标准立方米手动摇力≤8N。</w:t>
            </w:r>
          </w:p>
          <w:p>
            <w:pPr>
              <w:spacing w:line="360" w:lineRule="exact"/>
              <w:rPr>
                <w:rFonts w:ascii="新宋体" w:hAnsi="新宋体" w:eastAsia="新宋体" w:cs="新宋体"/>
                <w:szCs w:val="21"/>
              </w:rPr>
            </w:pPr>
            <w:r>
              <w:rPr>
                <w:rFonts w:hint="eastAsia" w:ascii="新宋体" w:hAnsi="新宋体" w:eastAsia="新宋体" w:cs="新宋体"/>
                <w:szCs w:val="21"/>
              </w:rPr>
              <w:t>（10）操纵手柄：采用锌合金或不锈钢或铸铁铸压成型，圆盘式手柄或折叠摇把式手柄。</w:t>
            </w:r>
          </w:p>
          <w:p>
            <w:pPr>
              <w:spacing w:line="360" w:lineRule="exact"/>
              <w:rPr>
                <w:rFonts w:ascii="新宋体" w:hAnsi="新宋体" w:eastAsia="新宋体" w:cs="新宋体"/>
                <w:szCs w:val="21"/>
              </w:rPr>
            </w:pPr>
            <w:r>
              <w:rPr>
                <w:rFonts w:hint="eastAsia" w:ascii="新宋体" w:hAnsi="新宋体" w:eastAsia="新宋体" w:cs="新宋体"/>
                <w:szCs w:val="21"/>
              </w:rPr>
              <w:t>（11）门板采用折弯成型，对开门。</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（12）传动系统主要由滚轮、传动轴、带座托架轴承、精密滚子链条、操纵手柄等部件组成。     </w:t>
            </w:r>
          </w:p>
          <w:p>
            <w:pPr>
              <w:spacing w:line="360" w:lineRule="exact"/>
              <w:rPr>
                <w:rFonts w:ascii="新宋体" w:hAnsi="新宋体" w:eastAsia="新宋体" w:cs="新宋体"/>
                <w:szCs w:val="21"/>
              </w:rPr>
            </w:pPr>
            <w:r>
              <w:rPr>
                <w:rFonts w:hint="eastAsia" w:ascii="新宋体" w:hAnsi="新宋体" w:eastAsia="新宋体" w:cs="新宋体"/>
                <w:szCs w:val="21"/>
              </w:rPr>
              <w:t>（13）轴：采用45#钢，加工精度为3.2，经调质热处理，HB220-290。</w:t>
            </w:r>
          </w:p>
          <w:p>
            <w:pPr>
              <w:spacing w:line="360" w:lineRule="exact"/>
              <w:rPr>
                <w:rFonts w:ascii="新宋体" w:hAnsi="新宋体" w:eastAsia="新宋体" w:cs="新宋体"/>
                <w:szCs w:val="21"/>
              </w:rPr>
            </w:pPr>
            <w:r>
              <w:rPr>
                <w:rFonts w:hint="eastAsia" w:ascii="新宋体" w:hAnsi="新宋体" w:eastAsia="新宋体" w:cs="新宋体"/>
                <w:szCs w:val="21"/>
              </w:rPr>
              <w:t>（14）行车轮：采用H20-40铸铁，经加工成型，表面镀铬处理，牢固耐用。</w:t>
            </w:r>
          </w:p>
          <w:p>
            <w:pPr>
              <w:spacing w:line="360" w:lineRule="exact"/>
              <w:rPr>
                <w:rFonts w:ascii="新宋体" w:hAnsi="新宋体" w:eastAsia="新宋体" w:cs="新宋体"/>
                <w:szCs w:val="21"/>
              </w:rPr>
            </w:pPr>
            <w:r>
              <w:rPr>
                <w:rFonts w:hint="eastAsia" w:ascii="新宋体" w:hAnsi="新宋体" w:eastAsia="新宋体" w:cs="新宋体"/>
                <w:szCs w:val="21"/>
              </w:rPr>
              <w:t>（15）链轮：采用45#钢，经锻压加工成型，回火去除应力，加工车、滚齿、插键槽、去毛齿、齿部经高频淬火HRC60-62（GB1135）。</w:t>
            </w:r>
          </w:p>
          <w:p>
            <w:pPr>
              <w:spacing w:line="360" w:lineRule="exact"/>
              <w:rPr>
                <w:rFonts w:ascii="新宋体" w:hAnsi="新宋体" w:eastAsia="新宋体" w:cs="新宋体"/>
                <w:szCs w:val="21"/>
              </w:rPr>
            </w:pPr>
            <w:r>
              <w:rPr>
                <w:rFonts w:hint="eastAsia" w:ascii="新宋体" w:hAnsi="新宋体" w:eastAsia="新宋体" w:cs="新宋体"/>
                <w:szCs w:val="21"/>
              </w:rPr>
              <w:t>（16）轴承：采用E级，P204托架双排滚珠轴承。</w:t>
            </w:r>
          </w:p>
          <w:p>
            <w:pPr>
              <w:spacing w:line="360" w:lineRule="exact"/>
              <w:rPr>
                <w:rFonts w:ascii="新宋体" w:hAnsi="新宋体" w:eastAsia="新宋体" w:cs="新宋体"/>
                <w:szCs w:val="21"/>
              </w:rPr>
            </w:pPr>
            <w:r>
              <w:rPr>
                <w:rFonts w:hint="eastAsia" w:ascii="新宋体" w:hAnsi="新宋体" w:eastAsia="新宋体" w:cs="新宋体"/>
                <w:szCs w:val="21"/>
              </w:rPr>
              <w:t>（17）链条：采用12.7带短滚珠链，摩托车链条（GB1244）。</w:t>
            </w:r>
          </w:p>
          <w:p>
            <w:pPr>
              <w:spacing w:line="360" w:lineRule="exact"/>
              <w:rPr>
                <w:rFonts w:ascii="新宋体" w:hAnsi="新宋体" w:eastAsia="新宋体" w:cs="新宋体"/>
                <w:szCs w:val="21"/>
              </w:rPr>
            </w:pPr>
            <w:r>
              <w:rPr>
                <w:rFonts w:hint="eastAsia" w:ascii="新宋体" w:hAnsi="新宋体" w:eastAsia="新宋体" w:cs="新宋体"/>
                <w:szCs w:val="21"/>
              </w:rPr>
              <w:t>（18）底梁通过二折弯成型，高度130mm，钢板厚3.0mm，组装时用螺栓连接紧固，做到在外力作用下，架体无任何变形情况发生。</w:t>
            </w:r>
          </w:p>
          <w:p>
            <w:pPr>
              <w:spacing w:line="360" w:lineRule="exact"/>
              <w:rPr>
                <w:rFonts w:ascii="新宋体" w:hAnsi="新宋体" w:eastAsia="新宋体" w:cs="新宋体"/>
                <w:szCs w:val="21"/>
              </w:rPr>
            </w:pPr>
            <w:r>
              <w:rPr>
                <w:rFonts w:hint="eastAsia" w:ascii="新宋体" w:hAnsi="新宋体" w:eastAsia="新宋体" w:cs="新宋体"/>
                <w:szCs w:val="21"/>
              </w:rPr>
              <w:t>（19）架子顶部应装有防尘装置。采用优质冷轧钢板，厚度1.0 mm.</w:t>
            </w:r>
          </w:p>
          <w:p>
            <w:pPr>
              <w:spacing w:line="360" w:lineRule="exact"/>
              <w:rPr>
                <w:rFonts w:ascii="新宋体" w:hAnsi="新宋体" w:eastAsia="新宋体" w:cs="新宋体"/>
                <w:szCs w:val="21"/>
              </w:rPr>
            </w:pPr>
            <w:r>
              <w:rPr>
                <w:rFonts w:hint="eastAsia" w:ascii="新宋体" w:hAnsi="新宋体" w:eastAsia="新宋体" w:cs="新宋体"/>
                <w:szCs w:val="21"/>
              </w:rPr>
              <w:t>（20）工件表面处理采用乳化剂和碱性助洗脱脂、磷酸除锈、薄膜型磷化、钝化、最后粉末喷涂。涂料为不含三酸异氰肝油脂（TGIC）的环氧树脂和聚脂树脂之混合型热固性粉沫涂料，利用静电使粉沫均匀分布于工件上，工件喷涂前应去除尘埃或杂质等损害表面的物质。喷涂后，需经适当的温度及时间进行固化处理。</w:t>
            </w:r>
          </w:p>
          <w:p>
            <w:pPr>
              <w:spacing w:line="360" w:lineRule="exact"/>
              <w:rPr>
                <w:rFonts w:ascii="新宋体" w:hAnsi="新宋体" w:eastAsia="新宋体" w:cs="新宋体"/>
                <w:szCs w:val="21"/>
              </w:rPr>
            </w:pPr>
            <w:r>
              <w:rPr>
                <w:rFonts w:hint="eastAsia" w:ascii="新宋体" w:hAnsi="新宋体" w:eastAsia="新宋体" w:cs="新宋体"/>
                <w:szCs w:val="21"/>
              </w:rPr>
              <w:t>（21）涂料应选用的优质名牌涂料，采用粉末静电喷涂。</w:t>
            </w:r>
          </w:p>
          <w:p>
            <w:pPr>
              <w:spacing w:line="360" w:lineRule="exact"/>
              <w:rPr>
                <w:rFonts w:ascii="新宋体" w:hAnsi="新宋体" w:eastAsia="新宋体" w:cs="新宋体"/>
                <w:szCs w:val="21"/>
              </w:rPr>
            </w:pPr>
            <w:r>
              <w:rPr>
                <w:rFonts w:hint="eastAsia" w:ascii="新宋体" w:hAnsi="新宋体" w:eastAsia="新宋体" w:cs="新宋体"/>
                <w:szCs w:val="21"/>
              </w:rPr>
              <w:t>（22）通用要求：</w:t>
            </w:r>
          </w:p>
          <w:p>
            <w:pPr>
              <w:spacing w:line="360" w:lineRule="exact"/>
              <w:rPr>
                <w:rFonts w:ascii="新宋体" w:hAnsi="新宋体" w:eastAsia="新宋体" w:cs="新宋体"/>
                <w:szCs w:val="21"/>
              </w:rPr>
            </w:pPr>
            <w:r>
              <w:rPr>
                <w:rFonts w:hint="eastAsia" w:ascii="新宋体" w:hAnsi="新宋体" w:eastAsia="新宋体" w:cs="新宋体"/>
                <w:szCs w:val="21"/>
              </w:rPr>
              <w:t>1）表面处理：严格执行表面处理工艺要求及标准，各零部件在涂敷前必须进行清洗、除油、除锈、并按照规范要求进行磷化处理；每道工序必须分槽处理。</w:t>
            </w:r>
          </w:p>
          <w:p>
            <w:pPr>
              <w:spacing w:line="360" w:lineRule="exact"/>
              <w:rPr>
                <w:rFonts w:ascii="新宋体" w:hAnsi="新宋体" w:eastAsia="新宋体" w:cs="新宋体"/>
                <w:szCs w:val="21"/>
              </w:rPr>
            </w:pPr>
            <w:r>
              <w:rPr>
                <w:rFonts w:hint="eastAsia" w:ascii="新宋体" w:hAnsi="新宋体" w:eastAsia="新宋体" w:cs="新宋体"/>
                <w:szCs w:val="21"/>
              </w:rPr>
              <w:t>2）制造公差：每标准立方米组装后，外廓尺寸（长，宽，高）的极限偏差为2mm；门缝间隙均匀一致，间隙在1～2mm之间。</w:t>
            </w:r>
          </w:p>
          <w:p>
            <w:pPr>
              <w:spacing w:line="360" w:lineRule="exact"/>
              <w:rPr>
                <w:rFonts w:ascii="新宋体" w:hAnsi="新宋体" w:eastAsia="新宋体" w:cs="新宋体"/>
                <w:szCs w:val="21"/>
              </w:rPr>
            </w:pPr>
            <w:r>
              <w:rPr>
                <w:rFonts w:hint="eastAsia" w:ascii="新宋体" w:hAnsi="新宋体" w:eastAsia="新宋体" w:cs="新宋体"/>
                <w:szCs w:val="21"/>
              </w:rPr>
              <w:t>3）产品金属架体及配件应采用先进的静电亚光喷塑工艺。使用优质环保涂敷材料，表面均匀光亮，色泽一致、严密、平整、无划伤。投标时必须对喷塑工艺、喷塑技术标准及各种部件的防锈处理进行详细说明。</w:t>
            </w:r>
          </w:p>
          <w:p>
            <w:pPr>
              <w:spacing w:line="360" w:lineRule="exact"/>
              <w:rPr>
                <w:rFonts w:ascii="新宋体" w:hAnsi="新宋体" w:eastAsia="新宋体" w:cs="新宋体"/>
                <w:szCs w:val="21"/>
              </w:rPr>
            </w:pPr>
            <w:r>
              <w:rPr>
                <w:rFonts w:hint="eastAsia" w:ascii="新宋体" w:hAnsi="新宋体" w:eastAsia="新宋体" w:cs="新宋体"/>
                <w:szCs w:val="21"/>
              </w:rPr>
              <w:t>4）钣金件、机加件加工后应打磨毛刺，无裂纹及划痕，所有焊接件应焊接牢固，焊痕光滑、平整。</w:t>
            </w:r>
          </w:p>
          <w:p>
            <w:pPr>
              <w:spacing w:line="360" w:lineRule="exact"/>
              <w:rPr>
                <w:rFonts w:ascii="新宋体" w:hAnsi="新宋体" w:eastAsia="新宋体" w:cs="新宋体"/>
                <w:szCs w:val="21"/>
              </w:rPr>
            </w:pPr>
            <w:r>
              <w:rPr>
                <w:rFonts w:hint="eastAsia" w:ascii="新宋体" w:hAnsi="新宋体" w:eastAsia="新宋体" w:cs="新宋体"/>
                <w:szCs w:val="21"/>
              </w:rPr>
              <w:t>5）外观应平整，无波纹、流痕、起泡、孔折痕、污点、露底、剥落、伤痕等可见性缺陷。</w:t>
            </w:r>
          </w:p>
          <w:p>
            <w:pPr>
              <w:spacing w:line="360" w:lineRule="exact"/>
              <w:rPr>
                <w:rFonts w:ascii="新宋体" w:hAnsi="新宋体" w:eastAsia="新宋体" w:cs="新宋体"/>
                <w:szCs w:val="21"/>
              </w:rPr>
            </w:pPr>
            <w:r>
              <w:rPr>
                <w:rFonts w:hint="eastAsia" w:ascii="新宋体" w:hAnsi="新宋体" w:eastAsia="新宋体" w:cs="新宋体"/>
                <w:szCs w:val="21"/>
              </w:rPr>
              <w:t>6）产品各零部件及组合件之间应具有互换性。</w:t>
            </w:r>
          </w:p>
          <w:p>
            <w:pPr>
              <w:spacing w:line="360" w:lineRule="exact"/>
              <w:rPr>
                <w:rFonts w:ascii="新宋体" w:hAnsi="新宋体" w:eastAsia="新宋体" w:cs="新宋体"/>
                <w:szCs w:val="21"/>
              </w:rPr>
            </w:pPr>
            <w:r>
              <w:rPr>
                <w:rFonts w:hint="eastAsia" w:ascii="新宋体" w:hAnsi="新宋体" w:eastAsia="新宋体" w:cs="新宋体"/>
                <w:szCs w:val="21"/>
              </w:rPr>
              <w:t>（23）安装质量要求包括：</w:t>
            </w:r>
          </w:p>
          <w:p>
            <w:pPr>
              <w:spacing w:line="360" w:lineRule="exact"/>
              <w:rPr>
                <w:rFonts w:ascii="新宋体" w:hAnsi="新宋体" w:eastAsia="新宋体" w:cs="新宋体"/>
                <w:szCs w:val="21"/>
              </w:rPr>
            </w:pPr>
            <w:r>
              <w:rPr>
                <w:rFonts w:hint="eastAsia" w:ascii="新宋体" w:hAnsi="新宋体" w:eastAsia="新宋体" w:cs="新宋体"/>
                <w:szCs w:val="21"/>
              </w:rPr>
              <w:t>1）密集架埋入轨道要求：每两条轨平行偏差≤1.5mm；在任何1m长度内水平偏差≤1mm，5m中≤2mm，全长≤4mm；平行度≤1.0mm/m，高低≤1.0mm，全长≤2mm，对接处高低≤0.3mm；防脱轨设计；路轨每米载荷≥1000kg。</w:t>
            </w:r>
          </w:p>
          <w:p>
            <w:pPr>
              <w:spacing w:line="360" w:lineRule="exact"/>
              <w:rPr>
                <w:rFonts w:ascii="新宋体" w:hAnsi="新宋体" w:eastAsia="新宋体" w:cs="新宋体"/>
                <w:szCs w:val="21"/>
              </w:rPr>
            </w:pPr>
            <w:r>
              <w:rPr>
                <w:rFonts w:hint="eastAsia" w:ascii="新宋体" w:hAnsi="新宋体" w:eastAsia="新宋体" w:cs="新宋体"/>
                <w:szCs w:val="21"/>
              </w:rPr>
              <w:t>2）密集架整体外观要求：架体安装调试后，要求达到横平竖直，架体摇动轻便无阻力和响声，架体干净整洁。</w:t>
            </w:r>
          </w:p>
          <w:p>
            <w:pPr>
              <w:spacing w:line="360" w:lineRule="exact"/>
              <w:rPr>
                <w:rFonts w:ascii="新宋体" w:hAnsi="新宋体" w:eastAsia="新宋体" w:cs="新宋体"/>
                <w:szCs w:val="21"/>
              </w:rPr>
            </w:pPr>
            <w:r>
              <w:rPr>
                <w:rFonts w:hint="eastAsia" w:ascii="新宋体" w:hAnsi="新宋体" w:eastAsia="新宋体" w:cs="新宋体"/>
                <w:szCs w:val="21"/>
              </w:rPr>
              <w:t>3）架体平行度：±1～2mm／列。</w:t>
            </w:r>
          </w:p>
          <w:p>
            <w:pPr>
              <w:spacing w:line="360" w:lineRule="exact"/>
              <w:rPr>
                <w:rFonts w:ascii="新宋体" w:hAnsi="新宋体" w:eastAsia="新宋体" w:cs="新宋体"/>
                <w:szCs w:val="21"/>
              </w:rPr>
            </w:pPr>
            <w:r>
              <w:rPr>
                <w:rFonts w:hint="eastAsia" w:ascii="新宋体" w:hAnsi="新宋体" w:eastAsia="新宋体" w:cs="新宋体"/>
                <w:szCs w:val="21"/>
              </w:rPr>
              <w:t>4）架体垂直度：±1～2mm／列。</w:t>
            </w:r>
          </w:p>
          <w:p>
            <w:pPr>
              <w:spacing w:line="360" w:lineRule="exact"/>
              <w:rPr>
                <w:rFonts w:ascii="新宋体" w:hAnsi="新宋体" w:eastAsia="新宋体" w:cs="新宋体"/>
                <w:szCs w:val="21"/>
              </w:rPr>
            </w:pPr>
            <w:r>
              <w:rPr>
                <w:rFonts w:hint="eastAsia" w:ascii="新宋体" w:hAnsi="新宋体" w:eastAsia="新宋体" w:cs="新宋体"/>
                <w:szCs w:val="21"/>
              </w:rPr>
              <w:t>5）架体纵向同步度：±1～2mm／列。</w:t>
            </w:r>
          </w:p>
          <w:p>
            <w:pPr>
              <w:spacing w:line="360" w:lineRule="exact"/>
              <w:rPr>
                <w:rFonts w:ascii="新宋体" w:hAnsi="新宋体" w:eastAsia="新宋体" w:cs="新宋体"/>
                <w:szCs w:val="21"/>
              </w:rPr>
            </w:pPr>
            <w:r>
              <w:rPr>
                <w:rFonts w:hint="eastAsia" w:ascii="新宋体" w:hAnsi="新宋体" w:eastAsia="新宋体" w:cs="新宋体"/>
                <w:szCs w:val="21"/>
              </w:rPr>
              <w:t>6）其它性能指标均应符合直列式密集架行业标准DA/T7-92和钢制密集架技术条件GB/T13667.1-2003</w:t>
            </w:r>
          </w:p>
          <w:p>
            <w:pPr>
              <w:spacing w:line="360" w:lineRule="exact"/>
              <w:rPr>
                <w:rFonts w:ascii="新宋体" w:hAnsi="新宋体" w:eastAsia="新宋体" w:cs="新宋体"/>
                <w:szCs w:val="21"/>
              </w:rPr>
            </w:pPr>
            <w:r>
              <w:rPr>
                <w:rFonts w:hint="eastAsia" w:ascii="新宋体" w:hAnsi="新宋体" w:eastAsia="新宋体" w:cs="新宋体"/>
                <w:szCs w:val="21"/>
              </w:rPr>
              <w:t>7）每标准立方米在全负载的情况下，承受沿X、Y轴两个方向额定载荷1/15的水平拉力作用、标准立方米不得翻倒。</w:t>
            </w:r>
          </w:p>
        </w:tc>
      </w:tr>
    </w:tbl>
    <w:p>
      <w:pPr>
        <w:rPr>
          <w:rFonts w:ascii="新宋体" w:hAnsi="新宋体" w:eastAsia="新宋体" w:cs="新宋体"/>
          <w:b/>
          <w:bCs/>
          <w:color w:val="000000" w:themeColor="text1"/>
          <w:sz w:val="28"/>
          <w:szCs w:val="28"/>
        </w:rPr>
      </w:pPr>
      <w:r>
        <w:rPr>
          <w:rFonts w:hint="eastAsia" w:ascii="新宋体" w:hAnsi="新宋体" w:eastAsia="新宋体" w:cs="新宋体"/>
          <w:b/>
          <w:bCs/>
          <w:color w:val="000000" w:themeColor="text1"/>
          <w:sz w:val="28"/>
          <w:szCs w:val="28"/>
        </w:rPr>
        <w:drawing>
          <wp:inline distT="0" distB="0" distL="114300" distR="114300">
            <wp:extent cx="7955280" cy="6035040"/>
            <wp:effectExtent l="0" t="0" r="7620" b="3810"/>
            <wp:docPr id="11" name="图片 11" descr="36d353cef2c7351072a54c0bc14f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6d353cef2c7351072a54c0bc14f9a0"/>
                    <pic:cNvPicPr>
                      <a:picLocks noChangeAspect="1"/>
                    </pic:cNvPicPr>
                  </pic:nvPicPr>
                  <pic:blipFill>
                    <a:blip r:embed="rId4" cstate="print"/>
                    <a:stretch>
                      <a:fillRect/>
                    </a:stretch>
                  </pic:blipFill>
                  <pic:spPr>
                    <a:xfrm>
                      <a:off x="0" y="0"/>
                      <a:ext cx="7955280" cy="6035040"/>
                    </a:xfrm>
                    <a:prstGeom prst="rect">
                      <a:avLst/>
                    </a:prstGeom>
                  </pic:spPr>
                </pic:pic>
              </a:graphicData>
            </a:graphic>
          </wp:inline>
        </w:drawing>
      </w:r>
    </w:p>
    <w:sectPr>
      <w:pgSz w:w="16838" w:h="11906" w:orient="landscape"/>
      <w:pgMar w:top="1180" w:right="1440" w:bottom="106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555B"/>
    <w:rsid w:val="000012E8"/>
    <w:rsid w:val="000110C9"/>
    <w:rsid w:val="000222FE"/>
    <w:rsid w:val="0009756B"/>
    <w:rsid w:val="000B6E66"/>
    <w:rsid w:val="000D3825"/>
    <w:rsid w:val="001131B5"/>
    <w:rsid w:val="00125681"/>
    <w:rsid w:val="00141B67"/>
    <w:rsid w:val="00142935"/>
    <w:rsid w:val="00152B2A"/>
    <w:rsid w:val="00175206"/>
    <w:rsid w:val="00193510"/>
    <w:rsid w:val="001A4616"/>
    <w:rsid w:val="001B2ECA"/>
    <w:rsid w:val="001C2D6A"/>
    <w:rsid w:val="001C5CD2"/>
    <w:rsid w:val="001D6570"/>
    <w:rsid w:val="00203AFB"/>
    <w:rsid w:val="002322E0"/>
    <w:rsid w:val="00247B05"/>
    <w:rsid w:val="00270E3B"/>
    <w:rsid w:val="00297B58"/>
    <w:rsid w:val="002B1FFE"/>
    <w:rsid w:val="002D6C06"/>
    <w:rsid w:val="003032A2"/>
    <w:rsid w:val="0039436E"/>
    <w:rsid w:val="003A25F1"/>
    <w:rsid w:val="003E6BB7"/>
    <w:rsid w:val="003F5C95"/>
    <w:rsid w:val="004376AA"/>
    <w:rsid w:val="00442B12"/>
    <w:rsid w:val="00473290"/>
    <w:rsid w:val="004746E0"/>
    <w:rsid w:val="004A0401"/>
    <w:rsid w:val="004E3BF5"/>
    <w:rsid w:val="005040D8"/>
    <w:rsid w:val="0058150B"/>
    <w:rsid w:val="00631F43"/>
    <w:rsid w:val="00634114"/>
    <w:rsid w:val="0065170B"/>
    <w:rsid w:val="00697447"/>
    <w:rsid w:val="006E387F"/>
    <w:rsid w:val="006F3293"/>
    <w:rsid w:val="00730DCD"/>
    <w:rsid w:val="0075303D"/>
    <w:rsid w:val="00762B5C"/>
    <w:rsid w:val="00763505"/>
    <w:rsid w:val="00787824"/>
    <w:rsid w:val="00796921"/>
    <w:rsid w:val="007B1E9B"/>
    <w:rsid w:val="007F68E5"/>
    <w:rsid w:val="00856BB4"/>
    <w:rsid w:val="008A3735"/>
    <w:rsid w:val="008B4BCE"/>
    <w:rsid w:val="008F25E2"/>
    <w:rsid w:val="009457D5"/>
    <w:rsid w:val="00953345"/>
    <w:rsid w:val="00960CC7"/>
    <w:rsid w:val="009735D8"/>
    <w:rsid w:val="009A3D99"/>
    <w:rsid w:val="009C23FC"/>
    <w:rsid w:val="009C42F9"/>
    <w:rsid w:val="009D4F8D"/>
    <w:rsid w:val="009E4395"/>
    <w:rsid w:val="009F5878"/>
    <w:rsid w:val="00A21E21"/>
    <w:rsid w:val="00A23F4D"/>
    <w:rsid w:val="00A51759"/>
    <w:rsid w:val="00A53304"/>
    <w:rsid w:val="00A56D4C"/>
    <w:rsid w:val="00A840AB"/>
    <w:rsid w:val="00A866F8"/>
    <w:rsid w:val="00A86874"/>
    <w:rsid w:val="00AB246C"/>
    <w:rsid w:val="00AB2C36"/>
    <w:rsid w:val="00AE105B"/>
    <w:rsid w:val="00B156D0"/>
    <w:rsid w:val="00B1637D"/>
    <w:rsid w:val="00B24ACB"/>
    <w:rsid w:val="00BA04BE"/>
    <w:rsid w:val="00BC2206"/>
    <w:rsid w:val="00BF555B"/>
    <w:rsid w:val="00C2429C"/>
    <w:rsid w:val="00C313E0"/>
    <w:rsid w:val="00C92699"/>
    <w:rsid w:val="00C94C20"/>
    <w:rsid w:val="00CB6EED"/>
    <w:rsid w:val="00CD4EFB"/>
    <w:rsid w:val="00D07AE7"/>
    <w:rsid w:val="00D204EB"/>
    <w:rsid w:val="00D5408E"/>
    <w:rsid w:val="00D87798"/>
    <w:rsid w:val="00E033D1"/>
    <w:rsid w:val="00E22E66"/>
    <w:rsid w:val="00E36B17"/>
    <w:rsid w:val="00E50703"/>
    <w:rsid w:val="00E630FD"/>
    <w:rsid w:val="00E67DD8"/>
    <w:rsid w:val="00E947C2"/>
    <w:rsid w:val="00E95C28"/>
    <w:rsid w:val="00EC7FE0"/>
    <w:rsid w:val="00F05BA1"/>
    <w:rsid w:val="00F66971"/>
    <w:rsid w:val="00F76A16"/>
    <w:rsid w:val="00F97CA5"/>
    <w:rsid w:val="00FB6E53"/>
    <w:rsid w:val="00FD6546"/>
    <w:rsid w:val="043F2530"/>
    <w:rsid w:val="048129F2"/>
    <w:rsid w:val="04F42B17"/>
    <w:rsid w:val="05802DDA"/>
    <w:rsid w:val="080D3D3B"/>
    <w:rsid w:val="089F1080"/>
    <w:rsid w:val="098D3C5A"/>
    <w:rsid w:val="0A8E4D01"/>
    <w:rsid w:val="0A96322E"/>
    <w:rsid w:val="0B540EF4"/>
    <w:rsid w:val="0D7714F8"/>
    <w:rsid w:val="0E8464B8"/>
    <w:rsid w:val="0F513C34"/>
    <w:rsid w:val="11456303"/>
    <w:rsid w:val="126F38FD"/>
    <w:rsid w:val="12870A23"/>
    <w:rsid w:val="15CF4CEB"/>
    <w:rsid w:val="16D8142C"/>
    <w:rsid w:val="1805635D"/>
    <w:rsid w:val="18056A93"/>
    <w:rsid w:val="18AC5AB5"/>
    <w:rsid w:val="197B7737"/>
    <w:rsid w:val="1C6E56EB"/>
    <w:rsid w:val="1DB1522F"/>
    <w:rsid w:val="24A13F7A"/>
    <w:rsid w:val="264B48D8"/>
    <w:rsid w:val="27914508"/>
    <w:rsid w:val="27B258E5"/>
    <w:rsid w:val="28CA6945"/>
    <w:rsid w:val="2A0D5415"/>
    <w:rsid w:val="2AB122FD"/>
    <w:rsid w:val="2DFF68DF"/>
    <w:rsid w:val="30617AA2"/>
    <w:rsid w:val="311845BA"/>
    <w:rsid w:val="312A48B5"/>
    <w:rsid w:val="31693380"/>
    <w:rsid w:val="33A741EF"/>
    <w:rsid w:val="3435610F"/>
    <w:rsid w:val="34CA3410"/>
    <w:rsid w:val="35F75FF5"/>
    <w:rsid w:val="37980C28"/>
    <w:rsid w:val="37AB18C6"/>
    <w:rsid w:val="3A075A9F"/>
    <w:rsid w:val="406D32A6"/>
    <w:rsid w:val="41EB1DC8"/>
    <w:rsid w:val="43554FDF"/>
    <w:rsid w:val="468F0512"/>
    <w:rsid w:val="46FF7BC1"/>
    <w:rsid w:val="47340F9E"/>
    <w:rsid w:val="48CB4851"/>
    <w:rsid w:val="49234C40"/>
    <w:rsid w:val="4BB832AF"/>
    <w:rsid w:val="4BDB799D"/>
    <w:rsid w:val="4CAF7825"/>
    <w:rsid w:val="4D27117D"/>
    <w:rsid w:val="4E9008BE"/>
    <w:rsid w:val="4EFA2D78"/>
    <w:rsid w:val="4F021B7A"/>
    <w:rsid w:val="4F275BD1"/>
    <w:rsid w:val="4F462673"/>
    <w:rsid w:val="4FC37201"/>
    <w:rsid w:val="51AA58AF"/>
    <w:rsid w:val="541856A9"/>
    <w:rsid w:val="55A4662E"/>
    <w:rsid w:val="580E2D1B"/>
    <w:rsid w:val="59283F4E"/>
    <w:rsid w:val="59B60545"/>
    <w:rsid w:val="5A1C6141"/>
    <w:rsid w:val="5AC44F56"/>
    <w:rsid w:val="5BC9426B"/>
    <w:rsid w:val="5C763C4C"/>
    <w:rsid w:val="5D6C196E"/>
    <w:rsid w:val="667D1491"/>
    <w:rsid w:val="66C159B5"/>
    <w:rsid w:val="68091FCA"/>
    <w:rsid w:val="68235247"/>
    <w:rsid w:val="68321FE9"/>
    <w:rsid w:val="69240BC8"/>
    <w:rsid w:val="69647E5C"/>
    <w:rsid w:val="6E274822"/>
    <w:rsid w:val="6EAE2704"/>
    <w:rsid w:val="73C14F30"/>
    <w:rsid w:val="73E51B89"/>
    <w:rsid w:val="74D5196D"/>
    <w:rsid w:val="74DE21F3"/>
    <w:rsid w:val="75D579E9"/>
    <w:rsid w:val="782C3177"/>
    <w:rsid w:val="785F64CA"/>
    <w:rsid w:val="7ABB586A"/>
    <w:rsid w:val="7B3B5AAE"/>
    <w:rsid w:val="7EF82932"/>
    <w:rsid w:val="7F1C33AF"/>
    <w:rsid w:val="7F3A4F6B"/>
    <w:rsid w:val="7FDE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9"/>
    <w:qFormat/>
    <w:uiPriority w:val="0"/>
    <w:pPr>
      <w:spacing w:after="120"/>
    </w:pPr>
    <w:rPr>
      <w:rFonts w:ascii="Times New Roman" w:hAnsi="Times New Roman"/>
      <w:szCs w:val="20"/>
    </w:rPr>
  </w:style>
  <w:style w:type="paragraph" w:styleId="4">
    <w:name w:val="Body Text Indent"/>
    <w:basedOn w:val="1"/>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List"/>
    <w:basedOn w:val="1"/>
    <w:qFormat/>
    <w:uiPriority w:val="0"/>
    <w:pPr>
      <w:ind w:left="420" w:hanging="420"/>
    </w:pPr>
    <w:rPr>
      <w:szCs w:val="24"/>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semiHidden/>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默认段落字体 Para Char"/>
    <w:basedOn w:val="1"/>
    <w:qFormat/>
    <w:uiPriority w:val="0"/>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character" w:customStyle="1" w:styleId="19">
    <w:name w:val="正文文本 Char"/>
    <w:basedOn w:val="13"/>
    <w:link w:val="3"/>
    <w:qFormat/>
    <w:uiPriority w:val="0"/>
    <w:rPr>
      <w:rFonts w:ascii="Times New Roman" w:hAnsi="Times New Roman" w:eastAsia="宋体" w:cs="Times New Roman"/>
      <w:szCs w:val="20"/>
    </w:rPr>
  </w:style>
  <w:style w:type="paragraph" w:styleId="20">
    <w:name w:val="List Paragraph"/>
    <w:basedOn w:val="1"/>
    <w:unhideWhenUsed/>
    <w:qFormat/>
    <w:uiPriority w:val="99"/>
    <w:pPr>
      <w:ind w:firstLine="420" w:firstLineChars="200"/>
    </w:pPr>
  </w:style>
  <w:style w:type="character" w:customStyle="1" w:styleId="21">
    <w:name w:val="批注框文本 Char"/>
    <w:basedOn w:val="13"/>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0F947-5BF2-45DF-9315-0DFF7FE476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1246</Words>
  <Characters>7105</Characters>
  <Lines>59</Lines>
  <Paragraphs>16</Paragraphs>
  <TotalTime>13</TotalTime>
  <ScaleCrop>false</ScaleCrop>
  <LinksUpToDate>false</LinksUpToDate>
  <CharactersWithSpaces>8335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2019-01-10T07:36:00Z</dcterms:created>
  <dc:creator>吴世卓</dc:creator>
  <cp:lastModifiedBy>Administrator</cp:lastModifiedBy>
  <cp:lastPrinted>2022-03-03T01:57:00Z</cp:lastPrinted>
  <dcterms:modified xsi:type="dcterms:W3CDTF">2022-03-22T00:47:35Z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76549D6486C544E8BE7CBE70EB4AEEEE</vt:lpwstr>
  </property>
</Properties>
</file>