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1200" w:firstLineChars="400"/>
        <w:jc w:val="left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便携式快速实时荧光定量PCR仪技术参数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left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1.产品名称:便携式快速实时荧光定量PCR仪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20" w:leftChars="0" w:right="0" w:rightChars="0"/>
        <w:jc w:val="left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样本容量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0.2ml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离心管（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5-100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μ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适应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常规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0.2ml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联管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及单管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反应灵敏度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10-10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Copies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荧光染料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F1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FAM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SYBR Green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Ⅰ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F2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HEX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VIC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JOE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、TET、YELLOW；F3:ROX；F4：CY5</w:t>
      </w:r>
    </w:p>
    <w:p>
      <w:pPr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5.通道数:四通道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6.光学系统:高亮度LED扫描，光电传感器扫描检测，免校准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7.热盖温度范围:30-110℃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8.检测试剂:开放式检测试剂耗材（通用常规</w:t>
      </w:r>
      <w:r>
        <w:rPr>
          <w:rFonts w:hint="default" w:hAnsi="宋体" w:cs="宋体"/>
          <w:color w:val="auto"/>
          <w:sz w:val="21"/>
          <w:szCs w:val="21"/>
          <w:lang w:val="en-US" w:eastAsia="zh-CN"/>
        </w:rPr>
        <w:t>PCR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>项目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温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范围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:30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℃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-100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均匀性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≤±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0.1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温控精度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≤±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0.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升温速率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/s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(MAX)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荧光强度检测重复性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CV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≤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%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荧光线性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线性回归系数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r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0.99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仪器通讯接口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USB 2.0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(可进行文件导入、导出)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16.软件:仪器可直接进行结果及数据分析，并配套电脑版专用分析软件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420" w:firstLineChars="0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17.触控屏独立操作: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LED7inch彩色电容屏触控，无需连接电脑即可操作分析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615D0"/>
    <w:rsid w:val="26AF6EFC"/>
    <w:rsid w:val="67C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2022-03-21T01:25:00Z</dcterms:created>
  <dc:creator>林智晓</dc:creator>
  <cp:lastModifiedBy>Administrator</cp:lastModifiedBy>
  <dcterms:modified xsi:type="dcterms:W3CDTF">2022-03-21T03:07:51Z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EA87296FA1C94ADB899CAFFF7F098075</vt:lpwstr>
  </property>
</Properties>
</file>